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cs="Helvetica"/>
          <w:color w:val="333333"/>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wp:posOffset>
            </wp:positionV>
            <wp:extent cx="996950" cy="1143000"/>
            <wp:effectExtent l="0" t="0" r="0" b="0"/>
            <wp:wrapSquare wrapText="bothSides"/>
            <wp:docPr id="1" name="图片 1" descr="http://www.jhc.cn/_upload/article/images/de/ba/0593cfef4ba1a738ce8ec578096d/8b3f867e-4192-44a6-bd6c-1cc5e566f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hc.cn/_upload/article/images/de/ba/0593cfef4ba1a738ce8ec578096d/8b3f867e-4192-44a6-bd6c-1cc5e566f6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96950" cy="1143000"/>
                    </a:xfrm>
                    <a:prstGeom prst="rect">
                      <a:avLst/>
                    </a:prstGeom>
                    <a:noFill/>
                    <a:ln>
                      <a:noFill/>
                    </a:ln>
                  </pic:spPr>
                </pic:pic>
              </a:graphicData>
            </a:graphic>
          </wp:anchor>
        </w:drawing>
      </w:r>
      <w:r>
        <w:rPr>
          <w:rFonts w:hint="eastAsia"/>
          <w:sz w:val="32"/>
          <w:szCs w:val="32"/>
          <w:lang w:val="en-US" w:eastAsia="zh-CN"/>
        </w:rPr>
        <w:t xml:space="preserve"> </w:t>
      </w:r>
      <w:r>
        <w:rPr>
          <w:rFonts w:hint="eastAsia"/>
          <w:sz w:val="32"/>
          <w:szCs w:val="32"/>
        </w:rPr>
        <w:t xml:space="preserve"> </w:t>
      </w:r>
    </w:p>
    <w:p>
      <w:pPr>
        <w:rPr>
          <w:sz w:val="32"/>
          <w:szCs w:val="32"/>
        </w:rPr>
      </w:pPr>
    </w:p>
    <w:p>
      <w:pPr>
        <w:rPr>
          <w:sz w:val="32"/>
          <w:szCs w:val="32"/>
        </w:rPr>
      </w:pPr>
    </w:p>
    <w:p>
      <w:pPr>
        <w:jc w:val="center"/>
        <w:rPr>
          <w:sz w:val="32"/>
          <w:szCs w:val="32"/>
        </w:rPr>
      </w:pPr>
      <w:r>
        <w:rPr>
          <w:rFonts w:cs="Helvetica"/>
          <w:color w:val="333333"/>
          <w:szCs w:val="21"/>
        </w:rPr>
        <w:drawing>
          <wp:inline distT="0" distB="0" distL="0" distR="0">
            <wp:extent cx="3574415" cy="935990"/>
            <wp:effectExtent l="0" t="0" r="6985" b="0"/>
            <wp:docPr id="2" name="图片 2" descr="http://www.jhc.cn/_upload/article/images/de/ba/0593cfef4ba1a738ce8ec578096d/27bc880e-e929-481f-8ba3-5fd031bef9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jhc.cn/_upload/article/images/de/ba/0593cfef4ba1a738ce8ec578096d/27bc880e-e929-481f-8ba3-5fd031bef9d7.jpg"/>
                    <pic:cNvPicPr>
                      <a:picLocks noChangeAspect="1" noChangeArrowheads="1"/>
                    </pic:cNvPicPr>
                  </pic:nvPicPr>
                  <pic:blipFill>
                    <a:blip r:embed="rId13" cstate="print">
                      <a:extLst>
                        <a:ext uri="{28A0092B-C50C-407E-A947-70E740481C1C}">
                          <a14:useLocalDpi xmlns:a14="http://schemas.microsoft.com/office/drawing/2010/main" val="0"/>
                        </a:ext>
                      </a:extLst>
                    </a:blip>
                    <a:srcRect l="18596"/>
                    <a:stretch>
                      <a:fillRect/>
                    </a:stretch>
                  </pic:blipFill>
                  <pic:spPr>
                    <a:xfrm>
                      <a:off x="0" y="0"/>
                      <a:ext cx="3574473" cy="936023"/>
                    </a:xfrm>
                    <a:prstGeom prst="rect">
                      <a:avLst/>
                    </a:prstGeom>
                    <a:noFill/>
                    <a:ln>
                      <a:noFill/>
                    </a:ln>
                  </pic:spPr>
                </pic:pic>
              </a:graphicData>
            </a:graphic>
          </wp:inline>
        </w:drawing>
      </w:r>
    </w:p>
    <w:p>
      <w:pPr>
        <w:jc w:val="center"/>
        <w:rPr>
          <w:sz w:val="32"/>
          <w:szCs w:val="32"/>
        </w:rPr>
      </w:pPr>
    </w:p>
    <w:p>
      <w:pPr>
        <w:rPr>
          <w:sz w:val="32"/>
          <w:szCs w:val="32"/>
        </w:rPr>
      </w:pPr>
    </w:p>
    <w:p>
      <w:pPr>
        <w:jc w:val="center"/>
        <w:rPr>
          <w:b/>
          <w:sz w:val="52"/>
          <w:szCs w:val="52"/>
        </w:rPr>
      </w:pPr>
      <w:r>
        <w:rPr>
          <w:rFonts w:hint="eastAsia"/>
          <w:b/>
          <w:sz w:val="52"/>
          <w:szCs w:val="52"/>
        </w:rPr>
        <w:t>202</w:t>
      </w:r>
      <w:r>
        <w:rPr>
          <w:rFonts w:hint="eastAsia"/>
          <w:b/>
          <w:sz w:val="52"/>
          <w:szCs w:val="52"/>
          <w:lang w:val="en-US" w:eastAsia="zh-CN"/>
        </w:rPr>
        <w:t>3</w:t>
      </w:r>
      <w:r>
        <w:rPr>
          <w:rFonts w:hint="eastAsia"/>
          <w:b/>
          <w:sz w:val="52"/>
          <w:szCs w:val="52"/>
        </w:rPr>
        <w:t>年</w:t>
      </w:r>
      <w:r>
        <w:rPr>
          <w:rFonts w:hint="eastAsia"/>
          <w:b/>
          <w:sz w:val="52"/>
          <w:szCs w:val="52"/>
          <w:lang w:val="en-US" w:eastAsia="zh-CN"/>
        </w:rPr>
        <w:t>度</w:t>
      </w:r>
      <w:r>
        <w:rPr>
          <w:rFonts w:hint="eastAsia"/>
          <w:b/>
          <w:sz w:val="52"/>
          <w:szCs w:val="52"/>
        </w:rPr>
        <w:t>继续教育发展报告</w:t>
      </w:r>
    </w:p>
    <w:p>
      <w:pPr>
        <w:ind w:firstLine="260" w:firstLineChars="50"/>
        <w:rPr>
          <w:sz w:val="52"/>
          <w:szCs w:val="52"/>
        </w:rPr>
      </w:pPr>
    </w:p>
    <w:p>
      <w:pPr>
        <w:ind w:firstLine="260" w:firstLineChars="50"/>
        <w:rPr>
          <w:sz w:val="52"/>
          <w:szCs w:val="52"/>
        </w:rPr>
      </w:pPr>
    </w:p>
    <w:p>
      <w:pPr>
        <w:ind w:firstLine="260" w:firstLineChars="50"/>
        <w:rPr>
          <w:sz w:val="52"/>
          <w:szCs w:val="52"/>
        </w:rPr>
      </w:pPr>
    </w:p>
    <w:p>
      <w:pPr>
        <w:ind w:firstLine="260" w:firstLineChars="50"/>
        <w:rPr>
          <w:sz w:val="52"/>
          <w:szCs w:val="52"/>
        </w:rPr>
      </w:pPr>
    </w:p>
    <w:p>
      <w:pPr>
        <w:ind w:firstLine="260" w:firstLineChars="50"/>
        <w:rPr>
          <w:sz w:val="52"/>
          <w:szCs w:val="52"/>
        </w:rPr>
      </w:pPr>
    </w:p>
    <w:p>
      <w:pPr>
        <w:ind w:firstLine="260" w:firstLineChars="50"/>
        <w:rPr>
          <w:sz w:val="52"/>
          <w:szCs w:val="52"/>
        </w:rPr>
      </w:pPr>
    </w:p>
    <w:p>
      <w:pPr>
        <w:jc w:val="center"/>
        <w:rPr>
          <w:sz w:val="36"/>
          <w:szCs w:val="36"/>
        </w:rPr>
      </w:pPr>
      <w:r>
        <w:rPr>
          <w:rFonts w:hint="eastAsia"/>
          <w:sz w:val="36"/>
          <w:szCs w:val="36"/>
        </w:rPr>
        <w:t>金华职业技术学院</w:t>
      </w:r>
    </w:p>
    <w:p>
      <w:pPr>
        <w:jc w:val="center"/>
        <w:rPr>
          <w:sz w:val="2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2"/>
          <w:cols w:space="425" w:num="1"/>
          <w:titlePg/>
          <w:docGrid w:type="lines" w:linePitch="312" w:charSpace="0"/>
        </w:sectPr>
      </w:pP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4</w:t>
      </w:r>
      <w:r>
        <w:rPr>
          <w:rFonts w:hint="eastAsia"/>
          <w:sz w:val="36"/>
          <w:szCs w:val="36"/>
        </w:rPr>
        <w:t>月</w:t>
      </w:r>
    </w:p>
    <w:sdt>
      <w:sdtPr>
        <w:rPr>
          <w:rFonts w:ascii="宋体" w:hAnsi="宋体"/>
          <w:sz w:val="32"/>
          <w:szCs w:val="32"/>
        </w:rPr>
        <w:id w:val="147480975"/>
        <w:docPartObj>
          <w:docPartGallery w:val="Table of Contents"/>
          <w:docPartUnique/>
        </w:docPartObj>
      </w:sdtPr>
      <w:sdtEndPr>
        <w:rPr>
          <w:rFonts w:hint="eastAsia" w:ascii="宋体" w:hAnsi="宋体" w:cs="宋体"/>
          <w:b/>
          <w:sz w:val="24"/>
          <w:szCs w:val="24"/>
        </w:rPr>
      </w:sdtEndPr>
      <w:sdtContent>
        <w:p>
          <w:pPr>
            <w:spacing w:line="400" w:lineRule="exact"/>
            <w:jc w:val="center"/>
            <w:rPr>
              <w:b/>
              <w:bCs/>
              <w:sz w:val="32"/>
              <w:szCs w:val="32"/>
            </w:rPr>
          </w:pPr>
          <w:r>
            <w:rPr>
              <w:rFonts w:ascii="宋体" w:hAnsi="宋体"/>
              <w:b/>
              <w:bCs/>
              <w:sz w:val="32"/>
              <w:szCs w:val="32"/>
            </w:rPr>
            <w:t>目录</w:t>
          </w:r>
        </w:p>
        <w:p>
          <w:pPr>
            <w:pStyle w:val="63"/>
            <w:tabs>
              <w:tab w:val="right" w:leader="dot" w:pos="8306"/>
            </w:tabs>
            <w:spacing w:line="340" w:lineRule="exact"/>
            <w:rPr>
              <w:rFonts w:ascii="宋体" w:hAnsi="宋体" w:cs="宋体"/>
              <w:b/>
              <w:sz w:val="24"/>
              <w:szCs w:val="24"/>
            </w:rPr>
          </w:pPr>
          <w:r>
            <w:rPr>
              <w:rFonts w:ascii="宋体" w:hAnsi="宋体" w:cs="宋体"/>
              <w:sz w:val="24"/>
              <w:szCs w:val="24"/>
            </w:rPr>
            <w:fldChar w:fldCharType="begin"/>
          </w:r>
          <w:r>
            <w:rPr>
              <w:rFonts w:ascii="宋体" w:hAnsi="宋体" w:cs="宋体"/>
              <w:sz w:val="24"/>
              <w:szCs w:val="24"/>
            </w:rPr>
            <w:instrText xml:space="preserve">TOC \o "1-2" \h \u </w:instrText>
          </w:r>
          <w:r>
            <w:rPr>
              <w:rFonts w:ascii="宋体" w:hAnsi="宋体" w:cs="宋体"/>
              <w:sz w:val="24"/>
              <w:szCs w:val="24"/>
            </w:rPr>
            <w:fldChar w:fldCharType="separate"/>
          </w:r>
          <w:r>
            <w:fldChar w:fldCharType="begin"/>
          </w:r>
          <w:r>
            <w:instrText xml:space="preserve"> HYPERLINK \l "_Toc26572" </w:instrText>
          </w:r>
          <w:r>
            <w:fldChar w:fldCharType="separate"/>
          </w:r>
          <w:r>
            <w:rPr>
              <w:rFonts w:hint="eastAsia" w:ascii="宋体" w:hAnsi="宋体" w:cs="宋体"/>
              <w:b/>
              <w:sz w:val="24"/>
              <w:szCs w:val="24"/>
            </w:rPr>
            <w:t>一、</w:t>
          </w:r>
          <w:r>
            <w:rPr>
              <w:rFonts w:hint="eastAsia" w:ascii="宋体" w:hAnsi="宋体" w:cs="宋体"/>
              <w:b/>
              <w:sz w:val="24"/>
              <w:szCs w:val="24"/>
              <w:lang w:val="en-US" w:eastAsia="zh-CN"/>
            </w:rPr>
            <w:t>总体</w:t>
          </w:r>
          <w:r>
            <w:rPr>
              <w:rFonts w:hint="eastAsia" w:ascii="宋体" w:hAnsi="宋体" w:cs="宋体"/>
              <w:b/>
              <w:sz w:val="24"/>
              <w:szCs w:val="24"/>
            </w:rPr>
            <w:t>情况</w:t>
          </w:r>
          <w:r>
            <w:rPr>
              <w:rFonts w:ascii="宋体" w:hAnsi="宋体" w:cs="宋体"/>
              <w:b/>
              <w:sz w:val="24"/>
              <w:szCs w:val="24"/>
            </w:rPr>
            <w:tab/>
          </w:r>
          <w:r>
            <w:rPr>
              <w:rFonts w:ascii="宋体" w:hAnsi="宋体" w:cs="宋体"/>
              <w:b/>
              <w:sz w:val="24"/>
              <w:szCs w:val="24"/>
            </w:rPr>
            <w:fldChar w:fldCharType="begin"/>
          </w:r>
          <w:r>
            <w:rPr>
              <w:rFonts w:ascii="宋体" w:hAnsi="宋体" w:cs="宋体"/>
              <w:b/>
              <w:sz w:val="24"/>
              <w:szCs w:val="24"/>
            </w:rPr>
            <w:instrText xml:space="preserve"> PAGEREF _Toc26572 \h </w:instrText>
          </w:r>
          <w:r>
            <w:rPr>
              <w:rFonts w:ascii="宋体" w:hAnsi="宋体" w:cs="宋体"/>
              <w:b/>
              <w:sz w:val="24"/>
              <w:szCs w:val="24"/>
            </w:rPr>
            <w:fldChar w:fldCharType="separate"/>
          </w:r>
          <w:r>
            <w:rPr>
              <w:rFonts w:ascii="宋体" w:hAnsi="宋体" w:cs="宋体"/>
              <w:b/>
              <w:sz w:val="24"/>
              <w:szCs w:val="24"/>
            </w:rPr>
            <w:t>1</w:t>
          </w:r>
          <w:r>
            <w:rPr>
              <w:rFonts w:ascii="宋体" w:hAnsi="宋体" w:cs="宋体"/>
              <w:b/>
              <w:sz w:val="24"/>
              <w:szCs w:val="24"/>
            </w:rPr>
            <w:fldChar w:fldCharType="end"/>
          </w:r>
          <w:r>
            <w:rPr>
              <w:rFonts w:ascii="宋体" w:hAnsi="宋体" w:cs="宋体"/>
              <w:b/>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"_Toc13881" </w:instrText>
          </w:r>
          <w:r>
            <w:fldChar w:fldCharType="separate"/>
          </w:r>
          <w:r>
            <w:rPr>
              <w:rFonts w:hint="eastAsia" w:ascii="宋体" w:hAnsi="宋体" w:cs="宋体"/>
              <w:sz w:val="24"/>
              <w:szCs w:val="24"/>
            </w:rPr>
            <w:t>（一）继续教育总体规划与办学定位</w:t>
          </w:r>
          <w:r>
            <w:rPr>
              <w:rFonts w:ascii="宋体" w:hAnsi="宋体" w:cs="宋体"/>
              <w:sz w:val="24"/>
              <w:szCs w:val="24"/>
            </w:rPr>
            <w:tab/>
          </w:r>
          <w:r>
            <w:rPr>
              <w:rFonts w:hint="eastAsia" w:ascii="宋体" w:hAnsi="宋体" w:cs="宋体"/>
              <w:sz w:val="24"/>
              <w:szCs w:val="24"/>
              <w:lang w:val="en-US" w:eastAsia="zh-CN"/>
            </w:rPr>
            <w:t>1</w:t>
          </w:r>
          <w:r>
            <w:rPr>
              <w:rFonts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"_Toc19705" </w:instrText>
          </w:r>
          <w:r>
            <w:fldChar w:fldCharType="separate"/>
          </w:r>
          <w:r>
            <w:rPr>
              <w:rFonts w:hint="eastAsia" w:ascii="宋体" w:hAnsi="宋体" w:cs="宋体"/>
              <w:sz w:val="24"/>
              <w:szCs w:val="24"/>
            </w:rPr>
            <w:t>（二）管理体制和机制</w:t>
          </w:r>
          <w:r>
            <w:rPr>
              <w:rFonts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"_Toc18197" </w:instrText>
          </w:r>
          <w:r>
            <w:fldChar w:fldCharType="separate"/>
          </w:r>
          <w:r>
            <w:rPr>
              <w:rFonts w:hint="eastAsia" w:ascii="宋体" w:hAnsi="宋体" w:cs="宋体"/>
              <w:sz w:val="24"/>
              <w:szCs w:val="24"/>
            </w:rPr>
            <w:t>（三）</w:t>
          </w:r>
          <w:r>
            <w:rPr>
              <w:rFonts w:hint="eastAsia" w:ascii="宋体" w:hAnsi="宋体" w:cs="宋体"/>
              <w:sz w:val="24"/>
              <w:szCs w:val="24"/>
              <w:lang w:val="en-US" w:eastAsia="zh-CN"/>
            </w:rPr>
            <w:t>开展继续教育及相关服务与学习型社会建设的总体情况</w:t>
          </w:r>
          <w:r>
            <w:rPr>
              <w:rFonts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"_Toc4186" </w:instrText>
          </w:r>
          <w:r>
            <w:fldChar w:fldCharType="separate"/>
          </w:r>
          <w:r>
            <w:rPr>
              <w:rFonts w:hint="eastAsia" w:ascii="宋体" w:hAnsi="宋体" w:cs="宋体"/>
              <w:b/>
              <w:sz w:val="24"/>
              <w:szCs w:val="24"/>
            </w:rPr>
            <w:t>二、专业设置</w:t>
          </w:r>
          <w:r>
            <w:rPr>
              <w:rFonts w:ascii="宋体" w:hAnsi="宋体" w:cs="宋体"/>
              <w:b/>
              <w:sz w:val="24"/>
              <w:szCs w:val="24"/>
            </w:rPr>
            <w:tab/>
          </w:r>
          <w:r>
            <w:rPr>
              <w:rFonts w:ascii="宋体" w:hAnsi="宋体" w:cs="宋体"/>
              <w:b/>
              <w:sz w:val="24"/>
              <w:szCs w:val="24"/>
            </w:rPr>
            <w:fldChar w:fldCharType="begin"/>
          </w:r>
          <w:r>
            <w:rPr>
              <w:rFonts w:ascii="宋体" w:hAnsi="宋体" w:cs="宋体"/>
              <w:b/>
              <w:sz w:val="24"/>
              <w:szCs w:val="24"/>
            </w:rPr>
            <w:instrText xml:space="preserve"> PAGEREF _Toc4186 \h </w:instrText>
          </w:r>
          <w:r>
            <w:rPr>
              <w:rFonts w:ascii="宋体" w:hAnsi="宋体" w:cs="宋体"/>
              <w:b/>
              <w:sz w:val="24"/>
              <w:szCs w:val="24"/>
            </w:rPr>
            <w:fldChar w:fldCharType="separate"/>
          </w:r>
          <w:r>
            <w:rPr>
              <w:rFonts w:ascii="宋体" w:hAnsi="宋体" w:cs="宋体"/>
              <w:b/>
              <w:sz w:val="24"/>
              <w:szCs w:val="24"/>
            </w:rPr>
            <w:t>2</w:t>
          </w:r>
          <w:r>
            <w:rPr>
              <w:rFonts w:ascii="宋体" w:hAnsi="宋体" w:cs="宋体"/>
              <w:b/>
              <w:sz w:val="24"/>
              <w:szCs w:val="24"/>
            </w:rPr>
            <w:fldChar w:fldCharType="end"/>
          </w:r>
          <w:r>
            <w:rPr>
              <w:rFonts w:ascii="宋体" w:hAnsi="宋体" w:cs="宋体"/>
              <w:b/>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"_Toc30128" </w:instrText>
          </w:r>
          <w:r>
            <w:fldChar w:fldCharType="separate"/>
          </w:r>
          <w:r>
            <w:rPr>
              <w:rFonts w:hint="eastAsia" w:ascii="宋体" w:hAnsi="宋体" w:cs="宋体"/>
              <w:sz w:val="24"/>
              <w:szCs w:val="24"/>
            </w:rPr>
            <w:t>（一）学历继续教育专业设置情况</w:t>
          </w:r>
          <w:r>
            <w:rPr>
              <w:rFonts w:ascii="宋体" w:hAns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_Toc30128 \h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"_Toc2671" </w:instrText>
          </w:r>
          <w:r>
            <w:fldChar w:fldCharType="separate"/>
          </w:r>
          <w:r>
            <w:rPr>
              <w:rFonts w:hint="eastAsia" w:ascii="宋体" w:hAnsi="宋体" w:cs="宋体"/>
              <w:sz w:val="24"/>
              <w:szCs w:val="24"/>
            </w:rPr>
            <w:t>（二）学历继续教育专业调整情况</w:t>
          </w:r>
          <w:r>
            <w:rPr>
              <w:rFonts w:hint="eastAsia" w:ascii="宋体" w:hAnsi="宋体" w:cs="宋体"/>
              <w:sz w:val="24"/>
              <w:szCs w:val="24"/>
              <w:lang w:val="en-US" w:eastAsia="zh-CN"/>
            </w:rPr>
            <w:t>及思路进展</w:t>
          </w:r>
          <w:r>
            <w:rPr>
              <w:rFonts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"_Toc4823" </w:instrText>
          </w:r>
          <w:r>
            <w:fldChar w:fldCharType="separate"/>
          </w:r>
          <w:r>
            <w:rPr>
              <w:rFonts w:hint="eastAsia" w:ascii="宋体" w:hAnsi="宋体" w:cs="宋体"/>
              <w:b/>
              <w:sz w:val="24"/>
              <w:szCs w:val="24"/>
            </w:rPr>
            <w:t>三、人才培养</w:t>
          </w:r>
          <w:r>
            <w:rPr>
              <w:rFonts w:ascii="宋体" w:hAnsi="宋体" w:cs="宋体"/>
              <w:b/>
              <w:sz w:val="24"/>
              <w:szCs w:val="24"/>
            </w:rPr>
            <w:tab/>
          </w:r>
          <w:r>
            <w:rPr>
              <w:rFonts w:hint="eastAsia" w:ascii="宋体" w:hAnsi="宋体" w:cs="宋体"/>
              <w:b/>
              <w:sz w:val="24"/>
              <w:szCs w:val="24"/>
            </w:rPr>
            <w:t>2</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"_Toc29337" </w:instrText>
          </w:r>
          <w:r>
            <w:fldChar w:fldCharType="separate"/>
          </w:r>
          <w:r>
            <w:rPr>
              <w:rFonts w:hint="eastAsia" w:ascii="宋体" w:hAnsi="宋体" w:cs="宋体"/>
              <w:sz w:val="24"/>
              <w:szCs w:val="24"/>
            </w:rPr>
            <w:t>（一）学历继续教育情况</w:t>
          </w:r>
          <w:r>
            <w:rPr>
              <w:rFonts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"_Toc29134" </w:instrText>
          </w:r>
          <w:r>
            <w:fldChar w:fldCharType="separate"/>
          </w:r>
          <w:r>
            <w:rPr>
              <w:rFonts w:hint="eastAsia" w:ascii="宋体" w:hAnsi="宋体" w:cs="宋体"/>
              <w:sz w:val="24"/>
              <w:szCs w:val="24"/>
            </w:rPr>
            <w:t>（二）非学历教育情况</w:t>
          </w:r>
          <w:r>
            <w:rPr>
              <w:rFonts w:ascii="宋体" w:hAnsi="宋体" w:cs="宋体"/>
              <w:sz w:val="24"/>
              <w:szCs w:val="24"/>
            </w:rPr>
            <w:tab/>
          </w:r>
          <w:r>
            <w:rPr>
              <w:rFonts w:hint="eastAsia" w:ascii="宋体" w:hAnsi="宋体" w:cs="宋体"/>
              <w:sz w:val="24"/>
              <w:szCs w:val="24"/>
              <w:lang w:val="en-US" w:eastAsia="zh-CN"/>
            </w:rPr>
            <w:t>2</w:t>
          </w:r>
          <w:r>
            <w:rPr>
              <w:rFonts w:ascii="宋体" w:hAnsi="宋体" w:cs="宋体"/>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"_Toc8909" </w:instrText>
          </w:r>
          <w:r>
            <w:fldChar w:fldCharType="separate"/>
          </w:r>
          <w:r>
            <w:rPr>
              <w:rFonts w:hint="eastAsia" w:ascii="宋体" w:hAnsi="宋体" w:cs="宋体"/>
              <w:b/>
              <w:sz w:val="24"/>
              <w:szCs w:val="24"/>
            </w:rPr>
            <w:t>四、质量保证</w:t>
          </w:r>
          <w:r>
            <w:rPr>
              <w:rFonts w:ascii="宋体" w:hAnsi="宋体" w:cs="宋体"/>
              <w:b/>
              <w:sz w:val="24"/>
              <w:szCs w:val="24"/>
            </w:rPr>
            <w:tab/>
          </w:r>
          <w:r>
            <w:rPr>
              <w:rFonts w:hint="eastAsia" w:ascii="宋体" w:hAnsi="宋体" w:cs="宋体"/>
              <w:b/>
              <w:sz w:val="24"/>
              <w:szCs w:val="24"/>
              <w:lang w:val="en-US" w:eastAsia="zh-CN"/>
            </w:rPr>
            <w:t>2</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"_Toc26282" </w:instrText>
          </w:r>
          <w:r>
            <w:fldChar w:fldCharType="separate"/>
          </w:r>
          <w:r>
            <w:rPr>
              <w:rFonts w:hint="eastAsia" w:ascii="宋体" w:hAnsi="宋体" w:cs="宋体"/>
              <w:sz w:val="24"/>
              <w:szCs w:val="24"/>
            </w:rPr>
            <w:t>（一）制度建设</w:t>
          </w:r>
          <w:r>
            <w:rPr>
              <w:rFonts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"_Toc6406" </w:instrText>
          </w:r>
          <w:r>
            <w:fldChar w:fldCharType="separate"/>
          </w:r>
          <w:r>
            <w:rPr>
              <w:rFonts w:hint="eastAsia" w:ascii="宋体" w:hAnsi="宋体" w:cs="宋体"/>
              <w:sz w:val="24"/>
              <w:szCs w:val="24"/>
            </w:rPr>
            <w:t>（二）师资保障</w:t>
          </w:r>
          <w:r>
            <w:rPr>
              <w:rFonts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"_Toc6406" </w:instrText>
          </w:r>
          <w:r>
            <w:fldChar w:fldCharType="separate"/>
          </w:r>
          <w:r>
            <w:rPr>
              <w:rFonts w:hint="eastAsia" w:ascii="宋体" w:hAnsi="宋体" w:cs="宋体"/>
              <w:sz w:val="24"/>
              <w:szCs w:val="24"/>
            </w:rPr>
            <w:t>（三）管理人员配备</w:t>
          </w:r>
          <w:r>
            <w:rPr>
              <w:rFonts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"_Toc17808" </w:instrText>
          </w:r>
          <w:r>
            <w:fldChar w:fldCharType="separate"/>
          </w:r>
          <w:r>
            <w:rPr>
              <w:rFonts w:hint="eastAsia" w:ascii="宋体" w:hAnsi="宋体" w:cs="宋体"/>
              <w:sz w:val="24"/>
              <w:szCs w:val="24"/>
            </w:rPr>
            <w:t>（四）资源建设</w:t>
          </w:r>
          <w:r>
            <w:rPr>
              <w:rFonts w:ascii="宋体" w:hAnsi="宋体" w:cs="宋体"/>
              <w:sz w:val="24"/>
              <w:szCs w:val="24"/>
            </w:rPr>
            <w:tab/>
          </w:r>
          <w:r>
            <w:rPr>
              <w:rFonts w:hint="eastAsia" w:ascii="宋体" w:hAnsi="宋体" w:cs="宋体"/>
              <w:sz w:val="24"/>
              <w:szCs w:val="24"/>
              <w:lang w:val="en-US" w:eastAsia="zh-CN"/>
            </w:rPr>
            <w:t>3</w:t>
          </w:r>
          <w:r>
            <w:rPr>
              <w:rFonts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"_Toc18831" </w:instrText>
          </w:r>
          <w:r>
            <w:fldChar w:fldCharType="separate"/>
          </w: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）内部外部质量保障</w:t>
          </w:r>
          <w:r>
            <w:rPr>
              <w:rFonts w:ascii="宋体" w:hAnsi="宋体" w:cs="宋体"/>
              <w:sz w:val="24"/>
              <w:szCs w:val="24"/>
            </w:rPr>
            <w:tab/>
          </w:r>
          <w:r>
            <w:rPr>
              <w:rFonts w:hint="eastAsia" w:ascii="宋体" w:hAnsi="宋体" w:cs="宋体"/>
              <w:sz w:val="24"/>
              <w:szCs w:val="24"/>
              <w:lang w:val="en-US" w:eastAsia="zh-CN"/>
            </w:rPr>
            <w:t>3</w:t>
          </w:r>
          <w:r>
            <w:rPr>
              <w:rFonts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"_Toc20761" </w:instrText>
          </w:r>
          <w:r>
            <w:fldChar w:fldCharType="separate"/>
          </w: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）信息化建设</w:t>
          </w:r>
          <w:r>
            <w:rPr>
              <w:rFonts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"_Toc20761" </w:instrText>
          </w:r>
          <w:r>
            <w:fldChar w:fldCharType="separate"/>
          </w:r>
          <w:r>
            <w:rPr>
              <w:rFonts w:hint="eastAsia" w:ascii="宋体" w:hAnsi="宋体" w:cs="宋体"/>
              <w:sz w:val="24"/>
              <w:szCs w:val="24"/>
            </w:rPr>
            <w:t>（</w:t>
          </w:r>
          <w:r>
            <w:rPr>
              <w:rFonts w:hint="eastAsia" w:ascii="宋体" w:hAnsi="宋体" w:cs="宋体"/>
              <w:sz w:val="24"/>
              <w:szCs w:val="24"/>
              <w:lang w:val="en-US" w:eastAsia="zh-CN"/>
            </w:rPr>
            <w:t>七</w:t>
          </w:r>
          <w:r>
            <w:rPr>
              <w:rFonts w:hint="eastAsia" w:ascii="宋体" w:hAnsi="宋体" w:cs="宋体"/>
              <w:sz w:val="24"/>
              <w:szCs w:val="24"/>
            </w:rPr>
            <w:t>）办学设施条件</w:t>
          </w:r>
          <w:r>
            <w:rPr>
              <w:rFonts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"_Toc24904" </w:instrText>
          </w:r>
          <w:r>
            <w:fldChar w:fldCharType="separate"/>
          </w:r>
          <w:r>
            <w:rPr>
              <w:rFonts w:hint="eastAsia" w:ascii="宋体" w:hAnsi="宋体" w:cs="宋体"/>
              <w:sz w:val="24"/>
              <w:szCs w:val="24"/>
            </w:rPr>
            <w:t>（</w:t>
          </w:r>
          <w:r>
            <w:rPr>
              <w:rFonts w:hint="eastAsia" w:ascii="宋体" w:hAnsi="宋体" w:cs="宋体"/>
              <w:sz w:val="24"/>
              <w:szCs w:val="24"/>
              <w:lang w:val="en-US" w:eastAsia="zh-CN"/>
            </w:rPr>
            <w:t>八</w:t>
          </w:r>
          <w:r>
            <w:rPr>
              <w:rFonts w:hint="eastAsia" w:ascii="宋体" w:hAnsi="宋体" w:cs="宋体"/>
              <w:sz w:val="24"/>
              <w:szCs w:val="24"/>
            </w:rPr>
            <w:t>）经费保障</w:t>
          </w:r>
          <w:r>
            <w:rPr>
              <w:rFonts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"_Toc11014" </w:instrText>
          </w:r>
          <w:r>
            <w:fldChar w:fldCharType="separate"/>
          </w:r>
          <w:r>
            <w:rPr>
              <w:rFonts w:hint="eastAsia" w:ascii="宋体" w:hAnsi="宋体" w:cs="宋体"/>
              <w:b/>
              <w:sz w:val="24"/>
              <w:szCs w:val="24"/>
            </w:rPr>
            <w:t>五、社会贡献</w:t>
          </w:r>
          <w:r>
            <w:rPr>
              <w:rFonts w:ascii="宋体" w:hAnsi="宋体" w:cs="宋体"/>
              <w:b/>
              <w:sz w:val="24"/>
              <w:szCs w:val="24"/>
            </w:rPr>
            <w:tab/>
          </w:r>
          <w:r>
            <w:rPr>
              <w:rFonts w:hint="eastAsia" w:ascii="宋体" w:hAnsi="宋体" w:cs="宋体"/>
              <w:b/>
              <w:sz w:val="24"/>
              <w:szCs w:val="24"/>
              <w:lang w:val="en-US" w:eastAsia="zh-CN"/>
            </w:rPr>
            <w:t>4</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b w:val="0"/>
              <w:bCs w:val="0"/>
              <w:sz w:val="24"/>
              <w:szCs w:val="24"/>
            </w:rPr>
          </w:pPr>
          <w:r>
            <w:rPr>
              <w:b w:val="0"/>
              <w:bCs w:val="0"/>
            </w:rPr>
            <w:fldChar w:fldCharType="begin"/>
          </w:r>
          <w:r>
            <w:rPr>
              <w:b w:val="0"/>
              <w:bCs w:val="0"/>
            </w:rPr>
            <w:instrText xml:space="preserve"> HYPERLINK \l "_Toc21207" </w:instrText>
          </w:r>
          <w:r>
            <w:rPr>
              <w:b w:val="0"/>
              <w:bCs w:val="0"/>
            </w:rPr>
            <w:fldChar w:fldCharType="separate"/>
          </w:r>
          <w:r>
            <w:rPr>
              <w:rFonts w:hint="eastAsia" w:ascii="宋体" w:hAnsi="宋体" w:cs="宋体"/>
              <w:b w:val="0"/>
              <w:bCs w:val="0"/>
              <w:sz w:val="24"/>
              <w:szCs w:val="24"/>
            </w:rPr>
            <w:t>（一）</w:t>
          </w:r>
          <w:r>
            <w:rPr>
              <w:rFonts w:hint="eastAsia" w:ascii="宋体" w:hAnsi="宋体" w:cs="宋体"/>
              <w:b w:val="0"/>
              <w:bCs/>
              <w:sz w:val="24"/>
            </w:rPr>
            <w:t>合作共建“特色学院”，精准服务彰显</w:t>
          </w:r>
          <w:r>
            <w:rPr>
              <w:rFonts w:hint="eastAsia" w:ascii="宋体" w:hAnsi="宋体" w:cs="宋体"/>
              <w:b w:val="0"/>
              <w:bCs/>
              <w:sz w:val="24"/>
              <w:highlight w:val="none"/>
            </w:rPr>
            <w:t>成效</w:t>
          </w:r>
          <w:r>
            <w:rPr>
              <w:rFonts w:ascii="宋体" w:hAnsi="宋体" w:cs="宋体"/>
              <w:b w:val="0"/>
              <w:bCs w:val="0"/>
              <w:sz w:val="24"/>
              <w:szCs w:val="24"/>
            </w:rPr>
            <w:tab/>
          </w:r>
          <w:r>
            <w:rPr>
              <w:rFonts w:hint="eastAsia" w:ascii="宋体" w:hAnsi="宋体" w:cs="宋体"/>
              <w:b w:val="0"/>
              <w:bCs w:val="0"/>
              <w:sz w:val="24"/>
              <w:szCs w:val="24"/>
              <w:lang w:val="en-US" w:eastAsia="zh-CN"/>
            </w:rPr>
            <w:t>4</w:t>
          </w:r>
          <w:r>
            <w:rPr>
              <w:rFonts w:hint="eastAsia" w:ascii="宋体" w:hAnsi="宋体" w:cs="宋体"/>
              <w:b w:val="0"/>
              <w:bCs w:val="0"/>
              <w:sz w:val="24"/>
              <w:szCs w:val="24"/>
            </w:rPr>
            <w:fldChar w:fldCharType="end"/>
          </w:r>
        </w:p>
        <w:p>
          <w:pPr>
            <w:pStyle w:val="64"/>
            <w:tabs>
              <w:tab w:val="right" w:leader="dot" w:pos="8306"/>
            </w:tabs>
            <w:spacing w:line="340" w:lineRule="exact"/>
            <w:ind w:left="420"/>
            <w:rPr>
              <w:rFonts w:ascii="宋体" w:hAnsi="宋体" w:cs="宋体"/>
              <w:b w:val="0"/>
              <w:bCs w:val="0"/>
              <w:sz w:val="24"/>
              <w:szCs w:val="24"/>
            </w:rPr>
          </w:pPr>
          <w:r>
            <w:rPr>
              <w:b w:val="0"/>
              <w:bCs w:val="0"/>
            </w:rPr>
            <w:fldChar w:fldCharType="begin"/>
          </w:r>
          <w:r>
            <w:rPr>
              <w:b w:val="0"/>
              <w:bCs w:val="0"/>
            </w:rPr>
            <w:instrText xml:space="preserve"> HYPERLINK \l "_Toc12404" </w:instrText>
          </w:r>
          <w:r>
            <w:rPr>
              <w:b w:val="0"/>
              <w:bCs w:val="0"/>
            </w:rPr>
            <w:fldChar w:fldCharType="separate"/>
          </w:r>
          <w:r>
            <w:rPr>
              <w:rFonts w:hint="eastAsia" w:ascii="宋体" w:hAnsi="宋体" w:cs="宋体"/>
              <w:b w:val="0"/>
              <w:bCs w:val="0"/>
              <w:sz w:val="24"/>
              <w:szCs w:val="24"/>
            </w:rPr>
            <w:t>（二）</w:t>
          </w:r>
          <w:r>
            <w:rPr>
              <w:rFonts w:hint="eastAsia" w:ascii="宋体" w:hAnsi="宋体" w:cs="宋体"/>
              <w:b w:val="0"/>
              <w:bCs/>
              <w:sz w:val="24"/>
            </w:rPr>
            <w:t>积极践行服务理念，</w:t>
          </w:r>
          <w:r>
            <w:rPr>
              <w:rFonts w:ascii="宋体" w:hAnsi="宋体" w:cs="宋体"/>
              <w:b w:val="0"/>
              <w:bCs/>
              <w:sz w:val="24"/>
            </w:rPr>
            <w:t>“书香金华”</w:t>
          </w:r>
          <w:r>
            <w:rPr>
              <w:rFonts w:hint="eastAsia" w:ascii="宋体" w:hAnsi="宋体" w:cs="宋体"/>
              <w:b w:val="0"/>
              <w:bCs/>
              <w:sz w:val="24"/>
            </w:rPr>
            <w:t>悦读满城</w:t>
          </w:r>
          <w:r>
            <w:rPr>
              <w:rFonts w:ascii="宋体" w:hAnsi="宋体" w:cs="宋体"/>
              <w:b w:val="0"/>
              <w:bCs w:val="0"/>
              <w:sz w:val="24"/>
              <w:szCs w:val="24"/>
            </w:rPr>
            <w:tab/>
          </w:r>
          <w:r>
            <w:rPr>
              <w:rFonts w:hint="eastAsia" w:ascii="宋体" w:hAnsi="宋体" w:cs="宋体"/>
              <w:b w:val="0"/>
              <w:bCs w:val="0"/>
              <w:sz w:val="24"/>
              <w:szCs w:val="24"/>
            </w:rPr>
            <w:t>6</w:t>
          </w:r>
          <w:r>
            <w:rPr>
              <w:rFonts w:hint="eastAsia" w:ascii="宋体" w:hAnsi="宋体" w:cs="宋体"/>
              <w:b w:val="0"/>
              <w:bCs w:val="0"/>
              <w:sz w:val="24"/>
              <w:szCs w:val="24"/>
            </w:rPr>
            <w:fldChar w:fldCharType="end"/>
          </w:r>
        </w:p>
        <w:p>
          <w:pPr>
            <w:pStyle w:val="64"/>
            <w:tabs>
              <w:tab w:val="right" w:leader="dot" w:pos="8306"/>
            </w:tabs>
            <w:spacing w:line="340" w:lineRule="exact"/>
            <w:ind w:left="420"/>
            <w:rPr>
              <w:rFonts w:ascii="宋体" w:hAnsi="宋体" w:cs="宋体"/>
              <w:sz w:val="24"/>
              <w:szCs w:val="24"/>
            </w:rPr>
          </w:pPr>
          <w:r>
            <w:rPr>
              <w:b w:val="0"/>
              <w:bCs w:val="0"/>
            </w:rPr>
            <w:fldChar w:fldCharType="begin"/>
          </w:r>
          <w:r>
            <w:rPr>
              <w:b w:val="0"/>
              <w:bCs w:val="0"/>
            </w:rPr>
            <w:instrText xml:space="preserve"> HYPERLINK \l "_Toc11234" </w:instrText>
          </w:r>
          <w:r>
            <w:rPr>
              <w:b w:val="0"/>
              <w:bCs w:val="0"/>
            </w:rPr>
            <w:fldChar w:fldCharType="separate"/>
          </w:r>
          <w:r>
            <w:rPr>
              <w:rFonts w:hint="eastAsia" w:ascii="宋体" w:hAnsi="宋体" w:cs="宋体"/>
              <w:b w:val="0"/>
              <w:bCs w:val="0"/>
              <w:sz w:val="24"/>
              <w:szCs w:val="24"/>
            </w:rPr>
            <w:t>（三）</w:t>
          </w:r>
          <w:r>
            <w:rPr>
              <w:rFonts w:ascii="宋体" w:hAnsi="宋体" w:cs="宋体"/>
              <w:b w:val="0"/>
              <w:bCs/>
              <w:sz w:val="24"/>
            </w:rPr>
            <w:t>深度参与东西协作，对口帮扶</w:t>
          </w:r>
          <w:r>
            <w:rPr>
              <w:rFonts w:hint="eastAsia" w:ascii="宋体" w:hAnsi="宋体" w:cs="宋体"/>
              <w:b w:val="0"/>
              <w:bCs/>
              <w:sz w:val="24"/>
            </w:rPr>
            <w:t>提</w:t>
          </w:r>
          <w:r>
            <w:rPr>
              <w:rFonts w:ascii="宋体" w:hAnsi="宋体" w:cs="宋体"/>
              <w:b w:val="0"/>
              <w:bCs/>
              <w:sz w:val="24"/>
            </w:rPr>
            <w:t>质</w:t>
          </w:r>
          <w:r>
            <w:rPr>
              <w:rFonts w:hint="eastAsia" w:ascii="宋体" w:hAnsi="宋体" w:cs="宋体"/>
              <w:b w:val="0"/>
              <w:bCs/>
              <w:sz w:val="24"/>
            </w:rPr>
            <w:t>扩面</w:t>
          </w:r>
          <w:r>
            <w:rPr>
              <w:rFonts w:ascii="宋体" w:hAnsi="宋体" w:cs="宋体"/>
              <w:b w:val="0"/>
              <w:bCs w:val="0"/>
              <w:sz w:val="24"/>
              <w:szCs w:val="24"/>
            </w:rPr>
            <w:tab/>
          </w:r>
          <w:r>
            <w:rPr>
              <w:rFonts w:hint="eastAsia" w:ascii="宋体" w:hAnsi="宋体" w:cs="宋体"/>
              <w:b w:val="0"/>
              <w:bCs w:val="0"/>
              <w:sz w:val="24"/>
              <w:szCs w:val="24"/>
            </w:rPr>
            <w:t>6</w:t>
          </w:r>
          <w:r>
            <w:rPr>
              <w:rFonts w:hint="eastAsia" w:ascii="宋体" w:hAnsi="宋体" w:cs="宋体"/>
              <w:b w:val="0"/>
              <w:bCs w:val="0"/>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"_Toc630" </w:instrText>
          </w:r>
          <w:r>
            <w:fldChar w:fldCharType="separate"/>
          </w:r>
          <w:r>
            <w:rPr>
              <w:rFonts w:hint="eastAsia" w:ascii="宋体" w:hAnsi="宋体" w:cs="宋体"/>
              <w:b/>
              <w:sz w:val="24"/>
              <w:szCs w:val="24"/>
            </w:rPr>
            <w:t>六、特色创新</w:t>
          </w:r>
          <w:r>
            <w:rPr>
              <w:rFonts w:ascii="宋体" w:hAnsi="宋体" w:cs="宋体"/>
              <w:b/>
              <w:sz w:val="24"/>
              <w:szCs w:val="24"/>
            </w:rPr>
            <w:tab/>
          </w:r>
          <w:r>
            <w:rPr>
              <w:rFonts w:hint="eastAsia" w:ascii="宋体" w:hAnsi="宋体" w:cs="宋体"/>
              <w:b/>
              <w:sz w:val="24"/>
              <w:szCs w:val="24"/>
            </w:rPr>
            <w:t>7</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b w:val="0"/>
              <w:bCs w:val="0"/>
              <w:sz w:val="24"/>
              <w:szCs w:val="24"/>
            </w:rPr>
          </w:pPr>
          <w:r>
            <w:rPr>
              <w:b w:val="0"/>
              <w:bCs w:val="0"/>
            </w:rPr>
            <w:fldChar w:fldCharType="begin"/>
          </w:r>
          <w:r>
            <w:rPr>
              <w:b w:val="0"/>
              <w:bCs w:val="0"/>
            </w:rPr>
            <w:instrText xml:space="preserve"> HYPERLINK \l "_Toc21261" </w:instrText>
          </w:r>
          <w:r>
            <w:rPr>
              <w:b w:val="0"/>
              <w:bCs w:val="0"/>
            </w:rPr>
            <w:fldChar w:fldCharType="separate"/>
          </w:r>
          <w:r>
            <w:rPr>
              <w:rFonts w:hint="eastAsia" w:ascii="宋体" w:hAnsi="宋体" w:cs="宋体"/>
              <w:b w:val="0"/>
              <w:bCs w:val="0"/>
              <w:sz w:val="24"/>
              <w:szCs w:val="24"/>
            </w:rPr>
            <w:t>（一）</w:t>
          </w:r>
          <w:r>
            <w:rPr>
              <w:b w:val="0"/>
              <w:bCs/>
              <w:color w:val="auto"/>
              <w:sz w:val="24"/>
              <w:highlight w:val="none"/>
            </w:rPr>
            <w:t>校地融合协同共生</w:t>
          </w:r>
          <w:r>
            <w:rPr>
              <w:rFonts w:hint="eastAsia"/>
              <w:b w:val="0"/>
              <w:bCs/>
              <w:color w:val="auto"/>
              <w:sz w:val="24"/>
              <w:highlight w:val="none"/>
            </w:rPr>
            <w:t>，下沉办学辐射周边</w:t>
          </w:r>
          <w:r>
            <w:rPr>
              <w:rFonts w:ascii="宋体" w:hAnsi="宋体" w:cs="宋体"/>
              <w:b w:val="0"/>
              <w:bCs w:val="0"/>
              <w:sz w:val="24"/>
              <w:szCs w:val="24"/>
            </w:rPr>
            <w:tab/>
          </w:r>
          <w:r>
            <w:rPr>
              <w:rFonts w:hint="eastAsia" w:ascii="宋体" w:hAnsi="宋体" w:cs="宋体"/>
              <w:b w:val="0"/>
              <w:bCs w:val="0"/>
              <w:sz w:val="24"/>
              <w:szCs w:val="24"/>
            </w:rPr>
            <w:t>7</w:t>
          </w:r>
          <w:r>
            <w:rPr>
              <w:rFonts w:hint="eastAsia" w:ascii="宋体" w:hAnsi="宋体" w:cs="宋体"/>
              <w:b w:val="0"/>
              <w:bCs w:val="0"/>
              <w:sz w:val="24"/>
              <w:szCs w:val="24"/>
            </w:rPr>
            <w:fldChar w:fldCharType="end"/>
          </w:r>
        </w:p>
        <w:p>
          <w:pPr>
            <w:pStyle w:val="64"/>
            <w:tabs>
              <w:tab w:val="right" w:leader="dot" w:pos="8306"/>
            </w:tabs>
            <w:spacing w:line="340" w:lineRule="exact"/>
            <w:ind w:left="420"/>
            <w:rPr>
              <w:rFonts w:ascii="宋体" w:hAnsi="宋体" w:cs="宋体"/>
              <w:b w:val="0"/>
              <w:bCs w:val="0"/>
              <w:sz w:val="24"/>
              <w:szCs w:val="24"/>
            </w:rPr>
          </w:pPr>
          <w:r>
            <w:rPr>
              <w:b w:val="0"/>
              <w:bCs w:val="0"/>
            </w:rPr>
            <w:fldChar w:fldCharType="begin"/>
          </w:r>
          <w:r>
            <w:rPr>
              <w:b w:val="0"/>
              <w:bCs w:val="0"/>
            </w:rPr>
            <w:instrText xml:space="preserve"> HYPERLINK \l "_Toc6015" </w:instrText>
          </w:r>
          <w:r>
            <w:rPr>
              <w:b w:val="0"/>
              <w:bCs w:val="0"/>
            </w:rPr>
            <w:fldChar w:fldCharType="separate"/>
          </w:r>
          <w:r>
            <w:rPr>
              <w:rFonts w:hint="eastAsia" w:ascii="宋体" w:hAnsi="宋体" w:cs="宋体"/>
              <w:b w:val="0"/>
              <w:bCs w:val="0"/>
              <w:sz w:val="24"/>
              <w:szCs w:val="24"/>
            </w:rPr>
            <w:t>（二）</w:t>
          </w:r>
          <w:r>
            <w:rPr>
              <w:rFonts w:hint="eastAsia"/>
              <w:b w:val="0"/>
              <w:bCs/>
              <w:color w:val="auto"/>
              <w:sz w:val="24"/>
              <w:highlight w:val="none"/>
            </w:rPr>
            <w:t>品牌引领保障质量，“金职”师训走向全国</w:t>
          </w:r>
          <w:r>
            <w:rPr>
              <w:rFonts w:ascii="宋体" w:hAnsi="宋体" w:cs="宋体"/>
              <w:b w:val="0"/>
              <w:bCs w:val="0"/>
              <w:sz w:val="24"/>
              <w:szCs w:val="24"/>
            </w:rPr>
            <w:tab/>
          </w:r>
          <w:r>
            <w:rPr>
              <w:rFonts w:hint="eastAsia" w:ascii="宋体" w:hAnsi="宋体" w:cs="宋体"/>
              <w:b w:val="0"/>
              <w:bCs w:val="0"/>
              <w:sz w:val="24"/>
              <w:szCs w:val="24"/>
            </w:rPr>
            <w:t>7</w:t>
          </w:r>
          <w:r>
            <w:rPr>
              <w:rFonts w:hint="eastAsia" w:ascii="宋体" w:hAnsi="宋体" w:cs="宋体"/>
              <w:b w:val="0"/>
              <w:bCs w:val="0"/>
              <w:sz w:val="24"/>
              <w:szCs w:val="24"/>
            </w:rPr>
            <w:fldChar w:fldCharType="end"/>
          </w:r>
        </w:p>
        <w:p>
          <w:pPr>
            <w:pStyle w:val="64"/>
            <w:tabs>
              <w:tab w:val="right" w:leader="dot" w:pos="8306"/>
            </w:tabs>
            <w:spacing w:line="340" w:lineRule="exact"/>
            <w:ind w:left="420"/>
            <w:rPr>
              <w:rFonts w:hint="eastAsia" w:ascii="宋体" w:hAnsi="宋体" w:cs="宋体"/>
              <w:b w:val="0"/>
              <w:bCs w:val="0"/>
              <w:sz w:val="24"/>
              <w:szCs w:val="24"/>
            </w:rPr>
          </w:pPr>
          <w:r>
            <w:rPr>
              <w:b w:val="0"/>
              <w:bCs w:val="0"/>
            </w:rPr>
            <w:fldChar w:fldCharType="begin"/>
          </w:r>
          <w:r>
            <w:rPr>
              <w:b w:val="0"/>
              <w:bCs w:val="0"/>
            </w:rPr>
            <w:instrText xml:space="preserve"> HYPERLINK \l "_Toc19957" </w:instrText>
          </w:r>
          <w:r>
            <w:rPr>
              <w:b w:val="0"/>
              <w:bCs w:val="0"/>
            </w:rPr>
            <w:fldChar w:fldCharType="separate"/>
          </w:r>
          <w:r>
            <w:rPr>
              <w:rFonts w:hint="eastAsia" w:ascii="宋体" w:hAnsi="宋体" w:cs="宋体"/>
              <w:b w:val="0"/>
              <w:bCs w:val="0"/>
              <w:sz w:val="24"/>
              <w:szCs w:val="24"/>
            </w:rPr>
            <w:t>（三）</w:t>
          </w:r>
          <w:r>
            <w:rPr>
              <w:b w:val="0"/>
              <w:bCs/>
              <w:color w:val="auto"/>
              <w:sz w:val="24"/>
              <w:highlight w:val="none"/>
            </w:rPr>
            <w:t>多元育训建设平台，职教标准</w:t>
          </w:r>
          <w:r>
            <w:rPr>
              <w:rFonts w:hint="eastAsia"/>
              <w:b w:val="0"/>
              <w:bCs/>
              <w:color w:val="auto"/>
              <w:sz w:val="24"/>
              <w:highlight w:val="none"/>
            </w:rPr>
            <w:t>迈向世界</w:t>
          </w:r>
          <w:r>
            <w:rPr>
              <w:rFonts w:ascii="宋体" w:hAnsi="宋体" w:cs="宋体"/>
              <w:b w:val="0"/>
              <w:bCs w:val="0"/>
              <w:sz w:val="24"/>
              <w:szCs w:val="24"/>
            </w:rPr>
            <w:tab/>
          </w:r>
          <w:r>
            <w:rPr>
              <w:rFonts w:hint="eastAsia" w:ascii="宋体" w:hAnsi="宋体" w:cs="宋体"/>
              <w:b w:val="0"/>
              <w:bCs w:val="0"/>
              <w:sz w:val="24"/>
              <w:szCs w:val="24"/>
              <w:lang w:val="en-US" w:eastAsia="zh-CN"/>
            </w:rPr>
            <w:t>7</w:t>
          </w:r>
          <w:r>
            <w:rPr>
              <w:rFonts w:hint="eastAsia" w:ascii="宋体" w:hAnsi="宋体" w:cs="宋体"/>
              <w:b w:val="0"/>
              <w:bCs w:val="0"/>
              <w:sz w:val="24"/>
              <w:szCs w:val="24"/>
            </w:rPr>
            <w:fldChar w:fldCharType="end"/>
          </w:r>
        </w:p>
        <w:p>
          <w:pPr>
            <w:pStyle w:val="64"/>
            <w:tabs>
              <w:tab w:val="right" w:leader="dot" w:pos="8306"/>
            </w:tabs>
            <w:spacing w:line="340" w:lineRule="exact"/>
            <w:ind w:left="420"/>
            <w:rPr>
              <w:rFonts w:hint="eastAsia" w:ascii="宋体" w:hAnsi="宋体" w:eastAsia="宋体" w:cs="宋体"/>
              <w:sz w:val="24"/>
              <w:szCs w:val="24"/>
              <w:lang w:val="en-US" w:eastAsia="zh-CN"/>
            </w:rPr>
          </w:pPr>
          <w:r>
            <w:rPr>
              <w:rFonts w:hint="eastAsia" w:ascii="宋体" w:hAnsi="宋体" w:cs="宋体"/>
              <w:b w:val="0"/>
              <w:bCs w:val="0"/>
              <w:sz w:val="24"/>
              <w:szCs w:val="24"/>
            </w:rPr>
            <w:t>（</w:t>
          </w:r>
          <w:r>
            <w:rPr>
              <w:rFonts w:hint="eastAsia" w:ascii="宋体" w:hAnsi="宋体" w:cs="宋体"/>
              <w:b w:val="0"/>
              <w:bCs w:val="0"/>
              <w:sz w:val="24"/>
              <w:szCs w:val="24"/>
              <w:lang w:val="en-US" w:eastAsia="zh-CN"/>
            </w:rPr>
            <w:t>四</w:t>
          </w:r>
          <w:r>
            <w:rPr>
              <w:rFonts w:hint="eastAsia" w:ascii="宋体" w:hAnsi="宋体" w:cs="宋体"/>
              <w:b w:val="0"/>
              <w:bCs w:val="0"/>
              <w:sz w:val="24"/>
              <w:szCs w:val="24"/>
            </w:rPr>
            <w:t>）</w:t>
          </w:r>
          <w:r>
            <w:rPr>
              <w:rFonts w:hint="eastAsia"/>
              <w:b w:val="0"/>
              <w:bCs w:val="0"/>
              <w:sz w:val="24"/>
            </w:rPr>
            <w:t>开展继续教育研究，</w:t>
          </w:r>
          <w:r>
            <w:rPr>
              <w:rFonts w:hint="eastAsia"/>
              <w:b w:val="0"/>
              <w:bCs w:val="0"/>
              <w:sz w:val="24"/>
              <w:lang w:val="en-US" w:eastAsia="zh-CN"/>
            </w:rPr>
            <w:t>积极</w:t>
          </w:r>
          <w:r>
            <w:rPr>
              <w:rFonts w:hint="eastAsia"/>
              <w:b w:val="0"/>
              <w:bCs w:val="0"/>
              <w:sz w:val="24"/>
            </w:rPr>
            <w:t>推广示范经验</w:t>
          </w:r>
          <w:r>
            <w:rPr>
              <w:rFonts w:ascii="宋体" w:hAnsi="宋体" w:cs="宋体"/>
              <w:sz w:val="24"/>
              <w:szCs w:val="24"/>
            </w:rPr>
            <w:tab/>
          </w:r>
          <w:r>
            <w:rPr>
              <w:rFonts w:hint="eastAsia" w:ascii="宋体" w:hAnsi="宋体" w:cs="宋体"/>
              <w:sz w:val="24"/>
              <w:szCs w:val="24"/>
              <w:lang w:val="en-US" w:eastAsia="zh-CN"/>
            </w:rPr>
            <w:t>8</w:t>
          </w:r>
        </w:p>
        <w:p>
          <w:pPr>
            <w:pStyle w:val="63"/>
            <w:tabs>
              <w:tab w:val="right" w:leader="dot" w:pos="8306"/>
            </w:tabs>
            <w:spacing w:line="340" w:lineRule="exact"/>
            <w:rPr>
              <w:rFonts w:ascii="宋体" w:hAnsi="宋体" w:cs="宋体"/>
              <w:b/>
              <w:sz w:val="24"/>
              <w:szCs w:val="24"/>
            </w:rPr>
          </w:pPr>
          <w:r>
            <w:fldChar w:fldCharType="begin"/>
          </w:r>
          <w:r>
            <w:instrText xml:space="preserve"> HYPERLINK \l "_Toc27617" </w:instrText>
          </w:r>
          <w:r>
            <w:fldChar w:fldCharType="separate"/>
          </w:r>
          <w:r>
            <w:rPr>
              <w:rFonts w:hint="eastAsia" w:ascii="宋体" w:hAnsi="宋体" w:cs="宋体"/>
              <w:b/>
              <w:sz w:val="24"/>
              <w:szCs w:val="24"/>
            </w:rPr>
            <w:t>七、问题挑战</w:t>
          </w:r>
          <w:r>
            <w:rPr>
              <w:rFonts w:ascii="宋体" w:hAnsi="宋体" w:cs="宋体"/>
              <w:b/>
              <w:sz w:val="24"/>
              <w:szCs w:val="24"/>
            </w:rPr>
            <w:tab/>
          </w:r>
          <w:r>
            <w:rPr>
              <w:rFonts w:hint="eastAsia" w:ascii="宋体" w:hAnsi="宋体" w:cs="宋体"/>
              <w:b/>
              <w:sz w:val="24"/>
              <w:szCs w:val="24"/>
            </w:rPr>
            <w:t>8</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"_Toc10277" </w:instrText>
          </w:r>
          <w:r>
            <w:fldChar w:fldCharType="separate"/>
          </w:r>
          <w:r>
            <w:rPr>
              <w:rFonts w:hint="eastAsia" w:ascii="宋体" w:hAnsi="宋体" w:cs="宋体"/>
              <w:sz w:val="24"/>
              <w:szCs w:val="24"/>
            </w:rPr>
            <w:t>（一）面对的新挑战、新需求</w:t>
          </w:r>
          <w:r>
            <w:rPr>
              <w:rFonts w:ascii="宋体" w:hAnsi="宋体" w:cs="宋体"/>
              <w:sz w:val="24"/>
              <w:szCs w:val="24"/>
            </w:rPr>
            <w:tab/>
          </w:r>
          <w:r>
            <w:rPr>
              <w:rFonts w:hint="eastAsia" w:ascii="宋体" w:hAnsi="宋体" w:cs="宋体"/>
              <w:sz w:val="24"/>
              <w:szCs w:val="24"/>
            </w:rPr>
            <w:t>8</w:t>
          </w:r>
          <w:r>
            <w:rPr>
              <w:rFonts w:hint="eastAsia" w:ascii="宋体" w:hAnsi="宋体" w:cs="宋体"/>
              <w:sz w:val="24"/>
              <w:szCs w:val="24"/>
            </w:rPr>
            <w:fldChar w:fldCharType="end"/>
          </w:r>
        </w:p>
        <w:p>
          <w:pPr>
            <w:pStyle w:val="64"/>
            <w:tabs>
              <w:tab w:val="right" w:leader="dot" w:pos="8306"/>
            </w:tabs>
            <w:spacing w:line="340" w:lineRule="exact"/>
            <w:ind w:left="420"/>
            <w:rPr>
              <w:rFonts w:ascii="宋体" w:hAnsi="宋体" w:cs="宋体"/>
              <w:sz w:val="24"/>
              <w:szCs w:val="24"/>
            </w:rPr>
          </w:pPr>
          <w:r>
            <w:fldChar w:fldCharType="begin"/>
          </w:r>
          <w:r>
            <w:instrText xml:space="preserve"> HYPERLINK \l "_Toc25459" </w:instrText>
          </w:r>
          <w:r>
            <w:fldChar w:fldCharType="separate"/>
          </w:r>
          <w:r>
            <w:rPr>
              <w:rFonts w:hint="eastAsia" w:ascii="宋体" w:hAnsi="宋体" w:cs="宋体"/>
              <w:sz w:val="24"/>
              <w:szCs w:val="24"/>
            </w:rPr>
            <w:t>（二）存在的主要问题及原因</w:t>
          </w:r>
          <w:r>
            <w:rPr>
              <w:rFonts w:ascii="宋体" w:hAnsi="宋体" w:cs="宋体"/>
              <w:sz w:val="24"/>
              <w:szCs w:val="24"/>
            </w:rPr>
            <w:tab/>
          </w:r>
          <w:r>
            <w:rPr>
              <w:rFonts w:hint="eastAsia" w:ascii="宋体" w:hAnsi="宋体" w:cs="宋体"/>
              <w:sz w:val="24"/>
              <w:szCs w:val="24"/>
            </w:rPr>
            <w:t>8</w:t>
          </w:r>
          <w:r>
            <w:rPr>
              <w:rFonts w:hint="eastAsia" w:ascii="宋体" w:hAnsi="宋体" w:cs="宋体"/>
              <w:sz w:val="24"/>
              <w:szCs w:val="24"/>
            </w:rPr>
            <w:fldChar w:fldCharType="end"/>
          </w:r>
        </w:p>
        <w:p>
          <w:pPr>
            <w:pStyle w:val="63"/>
            <w:tabs>
              <w:tab w:val="right" w:leader="dot" w:pos="8306"/>
            </w:tabs>
            <w:spacing w:line="340" w:lineRule="exact"/>
            <w:rPr>
              <w:rFonts w:ascii="宋体" w:hAnsi="宋体" w:cs="宋体"/>
              <w:b/>
              <w:sz w:val="24"/>
              <w:szCs w:val="24"/>
            </w:rPr>
          </w:pPr>
          <w:r>
            <w:fldChar w:fldCharType="begin"/>
          </w:r>
          <w:r>
            <w:instrText xml:space="preserve"> HYPERLINK \l "_Toc2728" </w:instrText>
          </w:r>
          <w:r>
            <w:fldChar w:fldCharType="separate"/>
          </w:r>
          <w:r>
            <w:rPr>
              <w:rFonts w:hint="eastAsia" w:ascii="宋体" w:hAnsi="宋体" w:cs="宋体"/>
              <w:b/>
              <w:sz w:val="24"/>
              <w:szCs w:val="24"/>
            </w:rPr>
            <w:t>八、工作考虑和建议</w:t>
          </w:r>
          <w:r>
            <w:rPr>
              <w:rFonts w:ascii="宋体" w:hAnsi="宋体" w:cs="宋体"/>
              <w:b/>
              <w:sz w:val="24"/>
              <w:szCs w:val="24"/>
            </w:rPr>
            <w:tab/>
          </w:r>
          <w:r>
            <w:rPr>
              <w:rFonts w:hint="eastAsia" w:ascii="宋体" w:hAnsi="宋体" w:cs="宋体"/>
              <w:b/>
              <w:sz w:val="24"/>
              <w:szCs w:val="24"/>
              <w:lang w:val="en-US" w:eastAsia="zh-CN"/>
            </w:rPr>
            <w:t>8</w:t>
          </w:r>
          <w:r>
            <w:rPr>
              <w:rFonts w:hint="eastAsia" w:ascii="宋体" w:hAnsi="宋体" w:cs="宋体"/>
              <w:b/>
              <w:sz w:val="24"/>
              <w:szCs w:val="24"/>
            </w:rPr>
            <w:fldChar w:fldCharType="end"/>
          </w:r>
        </w:p>
        <w:p>
          <w:pPr>
            <w:pStyle w:val="64"/>
            <w:tabs>
              <w:tab w:val="right" w:leader="dot" w:pos="8306"/>
            </w:tabs>
            <w:spacing w:line="340" w:lineRule="exact"/>
            <w:ind w:left="420"/>
            <w:rPr>
              <w:rFonts w:ascii="宋体" w:hAnsi="宋体" w:cs="宋体"/>
              <w:b w:val="0"/>
              <w:bCs w:val="0"/>
              <w:sz w:val="24"/>
              <w:szCs w:val="24"/>
            </w:rPr>
          </w:pPr>
          <w:r>
            <w:rPr>
              <w:b w:val="0"/>
              <w:bCs w:val="0"/>
            </w:rPr>
            <w:fldChar w:fldCharType="begin"/>
          </w:r>
          <w:r>
            <w:rPr>
              <w:b w:val="0"/>
              <w:bCs w:val="0"/>
            </w:rPr>
            <w:instrText xml:space="preserve"> HYPERLINK \l "_Toc10277" </w:instrText>
          </w:r>
          <w:r>
            <w:rPr>
              <w:b w:val="0"/>
              <w:bCs w:val="0"/>
            </w:rPr>
            <w:fldChar w:fldCharType="separate"/>
          </w:r>
          <w:r>
            <w:rPr>
              <w:rFonts w:hint="eastAsia" w:ascii="宋体" w:hAnsi="宋体" w:cs="宋体"/>
              <w:b w:val="0"/>
              <w:bCs w:val="0"/>
              <w:sz w:val="24"/>
              <w:szCs w:val="24"/>
            </w:rPr>
            <w:t>（一）</w:t>
          </w:r>
          <w:r>
            <w:rPr>
              <w:rFonts w:hint="eastAsia" w:ascii="宋体" w:hAnsi="宋体" w:cs="宋体"/>
              <w:b w:val="0"/>
              <w:bCs w:val="0"/>
              <w:color w:val="auto"/>
              <w:sz w:val="24"/>
            </w:rPr>
            <w:t>构建高质量发展新格局</w:t>
          </w:r>
          <w:r>
            <w:rPr>
              <w:rFonts w:ascii="宋体" w:hAnsi="宋体" w:cs="宋体"/>
              <w:b w:val="0"/>
              <w:bCs w:val="0"/>
              <w:sz w:val="24"/>
              <w:szCs w:val="24"/>
            </w:rPr>
            <w:tab/>
          </w:r>
          <w:r>
            <w:rPr>
              <w:rFonts w:hint="eastAsia" w:ascii="宋体" w:hAnsi="宋体" w:cs="宋体"/>
              <w:b w:val="0"/>
              <w:bCs w:val="0"/>
              <w:sz w:val="24"/>
              <w:szCs w:val="24"/>
              <w:lang w:val="en-US" w:eastAsia="zh-CN"/>
            </w:rPr>
            <w:t>8</w:t>
          </w:r>
          <w:r>
            <w:rPr>
              <w:rFonts w:hint="eastAsia" w:ascii="宋体" w:hAnsi="宋体" w:cs="宋体"/>
              <w:b w:val="0"/>
              <w:bCs w:val="0"/>
              <w:sz w:val="24"/>
              <w:szCs w:val="24"/>
            </w:rPr>
            <w:fldChar w:fldCharType="end"/>
          </w:r>
        </w:p>
        <w:p>
          <w:pPr>
            <w:pStyle w:val="63"/>
            <w:tabs>
              <w:tab w:val="right" w:leader="dot" w:pos="8306"/>
            </w:tabs>
            <w:spacing w:line="340" w:lineRule="exact"/>
            <w:ind w:firstLine="400" w:firstLineChars="200"/>
            <w:rPr>
              <w:rFonts w:ascii="宋体" w:hAnsi="宋体" w:cs="宋体"/>
              <w:sz w:val="24"/>
              <w:szCs w:val="24"/>
            </w:rPr>
          </w:pPr>
          <w:r>
            <w:rPr>
              <w:b w:val="0"/>
              <w:bCs w:val="0"/>
            </w:rPr>
            <w:fldChar w:fldCharType="begin"/>
          </w:r>
          <w:r>
            <w:rPr>
              <w:b w:val="0"/>
              <w:bCs w:val="0"/>
            </w:rPr>
            <w:instrText xml:space="preserve"> HYPERLINK \l "_Toc25459" </w:instrText>
          </w:r>
          <w:r>
            <w:rPr>
              <w:b w:val="0"/>
              <w:bCs w:val="0"/>
            </w:rPr>
            <w:fldChar w:fldCharType="separate"/>
          </w:r>
          <w:r>
            <w:rPr>
              <w:rFonts w:hint="eastAsia" w:ascii="宋体" w:hAnsi="宋体" w:cs="宋体"/>
              <w:b w:val="0"/>
              <w:bCs w:val="0"/>
              <w:sz w:val="24"/>
              <w:szCs w:val="24"/>
            </w:rPr>
            <w:t>（二）</w:t>
          </w:r>
          <w:r>
            <w:rPr>
              <w:rFonts w:hint="eastAsia" w:ascii="宋体" w:hAnsi="宋体" w:cs="宋体"/>
              <w:b w:val="0"/>
              <w:bCs w:val="0"/>
              <w:color w:val="auto"/>
              <w:sz w:val="24"/>
              <w:highlight w:val="none"/>
            </w:rPr>
            <w:t>“一院一品”培育特色品牌</w:t>
          </w:r>
          <w:r>
            <w:rPr>
              <w:rFonts w:ascii="宋体" w:hAnsi="宋体" w:cs="宋体"/>
              <w:b w:val="0"/>
              <w:bCs w:val="0"/>
              <w:sz w:val="24"/>
              <w:szCs w:val="24"/>
            </w:rPr>
            <w:tab/>
          </w:r>
          <w:r>
            <w:rPr>
              <w:rFonts w:hint="eastAsia" w:ascii="宋体" w:hAnsi="宋体" w:cs="宋体"/>
              <w:b w:val="0"/>
              <w:bCs w:val="0"/>
              <w:sz w:val="24"/>
              <w:szCs w:val="24"/>
              <w:lang w:val="en-US" w:eastAsia="zh-CN"/>
            </w:rPr>
            <w:t>9</w:t>
          </w:r>
          <w:r>
            <w:rPr>
              <w:rFonts w:hint="eastAsia" w:ascii="宋体" w:hAnsi="宋体" w:cs="宋体"/>
              <w:b w:val="0"/>
              <w:bCs w:val="0"/>
              <w:sz w:val="24"/>
              <w:szCs w:val="24"/>
            </w:rPr>
            <w:fldChar w:fldCharType="end"/>
          </w:r>
        </w:p>
        <w:p>
          <w:pPr>
            <w:pStyle w:val="63"/>
            <w:tabs>
              <w:tab w:val="right" w:leader="dot" w:pos="8306"/>
            </w:tabs>
            <w:spacing w:line="340" w:lineRule="exact"/>
            <w:rPr>
              <w:rFonts w:ascii="宋体" w:hAnsi="宋体" w:cs="宋体"/>
              <w:sz w:val="24"/>
              <w:szCs w:val="24"/>
            </w:rPr>
          </w:pPr>
        </w:p>
        <w:p>
          <w:pPr>
            <w:spacing w:line="340" w:lineRule="exact"/>
            <w:rPr>
              <w:b/>
            </w:rPr>
          </w:pPr>
          <w:r>
            <w:rPr>
              <w:rFonts w:ascii="宋体" w:hAnsi="宋体" w:cs="宋体"/>
              <w:b/>
              <w:sz w:val="24"/>
            </w:rPr>
            <w:fldChar w:fldCharType="end"/>
          </w:r>
        </w:p>
      </w:sdtContent>
    </w:sdt>
    <w:p>
      <w:pPr>
        <w:spacing w:line="360" w:lineRule="auto"/>
        <w:outlineLvl w:val="0"/>
        <w:rPr>
          <w:b/>
          <w:sz w:val="30"/>
          <w:szCs w:val="30"/>
        </w:rPr>
        <w:sectPr>
          <w:headerReference r:id="rId7" w:type="default"/>
          <w:footerReference r:id="rId8" w:type="default"/>
          <w:pgSz w:w="11906" w:h="16838"/>
          <w:pgMar w:top="1440" w:right="1800" w:bottom="1440" w:left="1800" w:header="851" w:footer="992" w:gutter="0"/>
          <w:pgNumType w:start="1"/>
          <w:cols w:space="425" w:num="1"/>
          <w:titlePg/>
          <w:docGrid w:type="lines" w:linePitch="312" w:charSpace="0"/>
        </w:sectPr>
      </w:pPr>
      <w:bookmarkStart w:id="0" w:name="_Toc26572"/>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r>
        <w:rPr>
          <w:rFonts w:hint="eastAsia"/>
          <w:b/>
          <w:color w:val="auto"/>
          <w:sz w:val="30"/>
          <w:szCs w:val="30"/>
        </w:rPr>
        <w:t>一、</w:t>
      </w:r>
      <w:r>
        <w:rPr>
          <w:rFonts w:hint="eastAsia"/>
          <w:b/>
          <w:color w:val="auto"/>
          <w:sz w:val="30"/>
          <w:szCs w:val="30"/>
          <w:lang w:val="en-US" w:eastAsia="zh-CN"/>
        </w:rPr>
        <w:t>总体</w:t>
      </w:r>
      <w:r>
        <w:rPr>
          <w:rFonts w:hint="eastAsia"/>
          <w:b/>
          <w:color w:val="auto"/>
          <w:sz w:val="30"/>
          <w:szCs w:val="30"/>
        </w:rPr>
        <w:t>情况</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学校始终坚持以服务国家重大战略、服务区域经济社会发展、服务学生可持续发展为价值追求，以规范管理为基础，以制度建设为保障，充分利用综合性高职教育专业群资源优势，牢牢抓住人才培养质量核心，持续更新继续教育办学理念，促进了继续教育规模、质量、效益等多方面和谐发展。</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1" w:name="_Toc19705"/>
      <w:r>
        <w:rPr>
          <w:rFonts w:hint="eastAsia"/>
          <w:b/>
          <w:color w:val="auto"/>
          <w:sz w:val="24"/>
        </w:rPr>
        <w:t>（</w:t>
      </w:r>
      <w:r>
        <w:rPr>
          <w:rFonts w:hint="eastAsia"/>
          <w:b/>
          <w:color w:val="auto"/>
          <w:sz w:val="24"/>
          <w:lang w:val="en-US" w:eastAsia="zh-CN"/>
        </w:rPr>
        <w:t>一</w:t>
      </w:r>
      <w:r>
        <w:rPr>
          <w:rFonts w:hint="eastAsia"/>
          <w:b/>
          <w:color w:val="auto"/>
          <w:sz w:val="24"/>
        </w:rPr>
        <w:t>）继续教育总体规划与办学定位</w:t>
      </w:r>
      <w:bookmarkEnd w:id="1"/>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color w:val="auto"/>
          <w:sz w:val="24"/>
        </w:rPr>
      </w:pPr>
      <w:r>
        <w:rPr>
          <w:rFonts w:hint="eastAsia"/>
          <w:color w:val="auto"/>
          <w:sz w:val="24"/>
        </w:rPr>
        <w:t>1．总体规划。继续教育是学校人才培养体系的重要组成部分，也是发挥服务社会职能的重要载体。</w:t>
      </w:r>
      <w:r>
        <w:rPr>
          <w:rFonts w:hint="eastAsia" w:ascii="宋体" w:hAnsi="宋体" w:cs="宋体"/>
          <w:color w:val="auto"/>
          <w:sz w:val="24"/>
        </w:rPr>
        <w:t>一是在</w:t>
      </w:r>
      <w:r>
        <w:rPr>
          <w:rFonts w:hint="eastAsia" w:ascii="宋体" w:hAnsi="宋体" w:cs="宋体"/>
          <w:color w:val="auto"/>
          <w:sz w:val="24"/>
          <w:lang w:val="en-US" w:eastAsia="zh-CN"/>
        </w:rPr>
        <w:t>学校</w:t>
      </w:r>
      <w:r>
        <w:rPr>
          <w:rFonts w:hint="eastAsia" w:ascii="宋体" w:hAnsi="宋体" w:cs="宋体"/>
          <w:color w:val="auto"/>
          <w:sz w:val="24"/>
        </w:rPr>
        <w:t>“十四五”发展规划中明确要求，“提高区域终身学习服务水平。按照‘育训结合、长短结合、内外结合’要求，积极开展职业技能培训和多种形式的继续教育。”；</w:t>
      </w:r>
      <w:r>
        <w:rPr>
          <w:rFonts w:hint="eastAsia"/>
          <w:color w:val="auto"/>
          <w:sz w:val="24"/>
        </w:rPr>
        <w:t>二是在学校“十四五”科技服务与继续教育专项规划中，进一步明确继续教育发展的指导思想、发展目标、主要举措、保障措施等工作内容；三是继续教育工作在《金华职业技术学院“双高”建设方案》、《金华职业技术学院提质培优行动计划实施方案（2020-2023年）》中都有相关重要建设任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办学定位。根据《金华职业技术学院章程（2023年修订）》，学校“以开展高等职业学校教育为主，并积极开展高等学历继续教育、非学历继续教育、留学生教育和其他形式教育”和“鼓励办学实体利用现代化教育手段和市场化办学机制，开展高等学历继续教育和非学历教育，为建设学习型社会和技能型社会服务”，明确了继续教育办学定位。</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2" w:name="_Toc18197"/>
      <w:r>
        <w:rPr>
          <w:rFonts w:hint="eastAsia"/>
          <w:b/>
          <w:color w:val="auto"/>
          <w:sz w:val="24"/>
        </w:rPr>
        <w:t>（</w:t>
      </w:r>
      <w:r>
        <w:rPr>
          <w:rFonts w:hint="eastAsia"/>
          <w:b/>
          <w:color w:val="auto"/>
          <w:sz w:val="24"/>
          <w:lang w:val="en-US" w:eastAsia="zh-CN"/>
        </w:rPr>
        <w:t>二</w:t>
      </w:r>
      <w:r>
        <w:rPr>
          <w:rFonts w:hint="eastAsia"/>
          <w:b/>
          <w:color w:val="auto"/>
          <w:sz w:val="24"/>
        </w:rPr>
        <w:t>）</w:t>
      </w:r>
      <w:bookmarkEnd w:id="2"/>
      <w:r>
        <w:rPr>
          <w:rFonts w:hint="eastAsia"/>
          <w:b/>
          <w:color w:val="auto"/>
          <w:sz w:val="24"/>
        </w:rPr>
        <w:t>管理体制和机制</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color w:val="auto"/>
          <w:sz w:val="24"/>
        </w:rPr>
      </w:pPr>
      <w:r>
        <w:rPr>
          <w:rFonts w:hint="eastAsia"/>
          <w:color w:val="auto"/>
          <w:sz w:val="24"/>
        </w:rPr>
        <w:t>学校继续教育实行管办分离体制。设立管理型部门继续教育处，专职业务归口管理，负责全校继续教育的规划指导、制度建设、质量监控、管理考核、合作办学管理、风险防控等工作；学校相关部门也将继续教育管理纳入各自工作职责范围，承担相应工作。各二级学院为具体办学单位，设立继续教育部，充分发挥专业群优势，具体组织开展继续教育项目办学工作，并接受学校的督查与考核。</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rFonts w:hint="default" w:eastAsia="宋体"/>
          <w:b/>
          <w:color w:val="auto"/>
          <w:sz w:val="24"/>
          <w:szCs w:val="24"/>
          <w:lang w:val="en-US" w:eastAsia="zh-CN"/>
        </w:rPr>
      </w:pPr>
      <w:r>
        <w:rPr>
          <w:rFonts w:hint="eastAsia"/>
          <w:b/>
          <w:color w:val="auto"/>
          <w:sz w:val="24"/>
          <w:szCs w:val="24"/>
        </w:rPr>
        <w:t>（</w:t>
      </w:r>
      <w:r>
        <w:rPr>
          <w:rFonts w:hint="eastAsia"/>
          <w:b/>
          <w:color w:val="auto"/>
          <w:sz w:val="24"/>
          <w:szCs w:val="24"/>
          <w:lang w:val="en-US" w:eastAsia="zh-CN"/>
        </w:rPr>
        <w:t>三</w:t>
      </w:r>
      <w:r>
        <w:rPr>
          <w:rFonts w:hint="eastAsia"/>
          <w:b/>
          <w:color w:val="auto"/>
          <w:sz w:val="24"/>
          <w:szCs w:val="24"/>
        </w:rPr>
        <w:t>）</w:t>
      </w:r>
      <w:r>
        <w:rPr>
          <w:rFonts w:hint="eastAsia"/>
          <w:b/>
          <w:color w:val="auto"/>
          <w:sz w:val="24"/>
          <w:szCs w:val="24"/>
          <w:lang w:val="en-US" w:eastAsia="zh-CN"/>
        </w:rPr>
        <w:t>开展继续教育及相关服务与学习型社会建设的总体情况</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color w:val="auto"/>
          <w:sz w:val="24"/>
          <w:szCs w:val="24"/>
        </w:rPr>
        <w:t>学校</w:t>
      </w:r>
      <w:r>
        <w:rPr>
          <w:rFonts w:hint="eastAsia" w:ascii="宋体" w:hAnsi="宋体" w:eastAsia="宋体" w:cs="宋体"/>
          <w:i w:val="0"/>
          <w:iCs w:val="0"/>
          <w:caps w:val="0"/>
          <w:color w:val="auto"/>
          <w:spacing w:val="0"/>
          <w:sz w:val="24"/>
          <w:szCs w:val="24"/>
          <w:shd w:val="clear" w:fill="FFFFFF"/>
        </w:rPr>
        <w:t>围绕学习型社会建设的重点领域和人群，发挥自身学科专业特色优势，以服务学习者终身学习为中心推进学历继续教育和非学历教育</w:t>
      </w:r>
      <w:r>
        <w:rPr>
          <w:rFonts w:hint="eastAsia" w:ascii="宋体" w:hAnsi="宋体" w:cs="宋体"/>
          <w:i w:val="0"/>
          <w:iCs w:val="0"/>
          <w:caps w:val="0"/>
          <w:color w:val="auto"/>
          <w:spacing w:val="0"/>
          <w:sz w:val="24"/>
          <w:szCs w:val="24"/>
          <w:shd w:val="clear" w:fill="FFFFFF"/>
          <w:lang w:val="en-US" w:eastAsia="zh-CN"/>
        </w:rPr>
        <w:t>的</w:t>
      </w:r>
      <w:r>
        <w:rPr>
          <w:rFonts w:hint="eastAsia" w:ascii="宋体" w:hAnsi="宋体" w:eastAsia="宋体" w:cs="宋体"/>
          <w:i w:val="0"/>
          <w:iCs w:val="0"/>
          <w:caps w:val="0"/>
          <w:color w:val="auto"/>
          <w:spacing w:val="0"/>
          <w:sz w:val="24"/>
          <w:szCs w:val="24"/>
          <w:shd w:val="clear" w:fill="FFFFFF"/>
        </w:rPr>
        <w:t>统筹，</w:t>
      </w:r>
      <w:r>
        <w:rPr>
          <w:rFonts w:hint="eastAsia" w:ascii="宋体" w:hAnsi="宋体" w:cs="宋体"/>
          <w:i w:val="0"/>
          <w:iCs w:val="0"/>
          <w:caps w:val="0"/>
          <w:color w:val="auto"/>
          <w:spacing w:val="0"/>
          <w:sz w:val="24"/>
          <w:szCs w:val="24"/>
          <w:shd w:val="clear" w:fill="FFFFFF"/>
          <w:lang w:val="en-US" w:eastAsia="zh-CN"/>
        </w:rPr>
        <w:t>努力</w:t>
      </w:r>
      <w:r>
        <w:rPr>
          <w:rFonts w:hint="eastAsia" w:ascii="宋体" w:hAnsi="宋体" w:eastAsia="宋体" w:cs="宋体"/>
          <w:i w:val="0"/>
          <w:iCs w:val="0"/>
          <w:caps w:val="0"/>
          <w:color w:val="auto"/>
          <w:spacing w:val="0"/>
          <w:sz w:val="24"/>
          <w:szCs w:val="24"/>
          <w:shd w:val="clear" w:fill="FFFFFF"/>
        </w:rPr>
        <w:t>构建人人皆学、处处能学、时时可学的全民终身学习服务体系</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val="en-US" w:eastAsia="zh-CN"/>
        </w:rPr>
        <w:t>积极参与学习型社会建设重点任务之</w:t>
      </w:r>
      <w:r>
        <w:rPr>
          <w:rFonts w:hint="eastAsia" w:ascii="宋体" w:hAnsi="宋体" w:eastAsia="宋体" w:cs="宋体"/>
          <w:i w:val="0"/>
          <w:iCs w:val="0"/>
          <w:caps w:val="0"/>
          <w:color w:val="auto"/>
          <w:spacing w:val="0"/>
          <w:sz w:val="24"/>
          <w:szCs w:val="24"/>
          <w:shd w:val="clear" w:fill="FFFFFF"/>
        </w:rPr>
        <w:t>学历继续教育教学改革创新、非学历教育改革创新</w:t>
      </w:r>
      <w:r>
        <w:rPr>
          <w:rFonts w:hint="eastAsia" w:ascii="宋体" w:hAnsi="宋体" w:cs="宋体"/>
          <w:i w:val="0"/>
          <w:iCs w:val="0"/>
          <w:caps w:val="0"/>
          <w:color w:val="auto"/>
          <w:spacing w:val="0"/>
          <w:sz w:val="24"/>
          <w:szCs w:val="24"/>
          <w:shd w:val="clear" w:fill="FFFFFF"/>
          <w:lang w:val="en-US" w:eastAsia="zh-CN"/>
        </w:rPr>
        <w:t>和</w:t>
      </w:r>
      <w:r>
        <w:rPr>
          <w:rFonts w:hint="eastAsia" w:ascii="宋体" w:hAnsi="宋体" w:eastAsia="宋体" w:cs="宋体"/>
          <w:i w:val="0"/>
          <w:iCs w:val="0"/>
          <w:caps w:val="0"/>
          <w:color w:val="auto"/>
          <w:spacing w:val="0"/>
          <w:sz w:val="24"/>
          <w:szCs w:val="24"/>
          <w:shd w:val="clear" w:fill="FFFFFF"/>
        </w:rPr>
        <w:t>探索三教统筹协同创新</w:t>
      </w:r>
      <w:r>
        <w:rPr>
          <w:rFonts w:hint="eastAsia" w:ascii="宋体" w:hAnsi="宋体" w:cs="宋体"/>
          <w:i w:val="0"/>
          <w:iCs w:val="0"/>
          <w:caps w:val="0"/>
          <w:color w:val="auto"/>
          <w:spacing w:val="0"/>
          <w:sz w:val="24"/>
          <w:szCs w:val="24"/>
          <w:shd w:val="clear" w:fill="FFFFFF"/>
          <w:lang w:val="en-US" w:eastAsia="zh-CN"/>
        </w:rPr>
        <w:t>三项</w:t>
      </w:r>
      <w:r>
        <w:rPr>
          <w:rFonts w:hint="eastAsia" w:ascii="宋体" w:hAnsi="宋体" w:eastAsia="宋体" w:cs="宋体"/>
          <w:i w:val="0"/>
          <w:iCs w:val="0"/>
          <w:caps w:val="0"/>
          <w:color w:val="auto"/>
          <w:spacing w:val="0"/>
          <w:sz w:val="24"/>
          <w:szCs w:val="24"/>
          <w:shd w:val="clear" w:fill="FFFFFF"/>
        </w:rPr>
        <w:t>重点任务</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val="en-US" w:eastAsia="zh-CN"/>
        </w:rPr>
        <w:t>其中</w:t>
      </w:r>
      <w:r>
        <w:rPr>
          <w:rFonts w:hint="eastAsia" w:ascii="宋体" w:hAnsi="宋体" w:eastAsia="宋体" w:cs="宋体"/>
          <w:i w:val="0"/>
          <w:iCs w:val="0"/>
          <w:caps w:val="0"/>
          <w:color w:val="auto"/>
          <w:spacing w:val="0"/>
          <w:sz w:val="24"/>
          <w:szCs w:val="24"/>
          <w:shd w:val="clear" w:fill="FFFFFF"/>
        </w:rPr>
        <w:t>学历继续教育教学改革创新</w:t>
      </w:r>
      <w:r>
        <w:rPr>
          <w:rFonts w:hint="eastAsia" w:ascii="宋体" w:hAnsi="宋体" w:cs="宋体"/>
          <w:i w:val="0"/>
          <w:iCs w:val="0"/>
          <w:caps w:val="0"/>
          <w:color w:val="auto"/>
          <w:spacing w:val="0"/>
          <w:sz w:val="24"/>
          <w:szCs w:val="24"/>
          <w:shd w:val="clear" w:fill="FFFFFF"/>
          <w:lang w:val="en-US" w:eastAsia="zh-CN"/>
        </w:rPr>
        <w:t>任务获批。</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bookmarkStart w:id="3" w:name="_Toc4186"/>
      <w:r>
        <w:rPr>
          <w:rFonts w:hint="eastAsia"/>
          <w:b/>
          <w:color w:val="auto"/>
          <w:sz w:val="30"/>
          <w:szCs w:val="30"/>
        </w:rPr>
        <w:t>二、专业设置</w:t>
      </w:r>
      <w:bookmarkEnd w:id="3"/>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4" w:name="_Toc30128"/>
      <w:r>
        <w:rPr>
          <w:rFonts w:hint="eastAsia"/>
          <w:b/>
          <w:color w:val="auto"/>
          <w:sz w:val="24"/>
        </w:rPr>
        <w:t>（</w:t>
      </w:r>
      <w:r>
        <w:rPr>
          <w:b/>
          <w:color w:val="auto"/>
          <w:sz w:val="24"/>
        </w:rPr>
        <w:t>一</w:t>
      </w:r>
      <w:r>
        <w:rPr>
          <w:rFonts w:hint="eastAsia"/>
          <w:b/>
          <w:color w:val="auto"/>
          <w:sz w:val="24"/>
        </w:rPr>
        <w:t>）</w:t>
      </w:r>
      <w:r>
        <w:rPr>
          <w:b/>
          <w:color w:val="auto"/>
          <w:sz w:val="24"/>
        </w:rPr>
        <w:t>学历继续教育专业设置</w:t>
      </w:r>
      <w:bookmarkEnd w:id="4"/>
      <w:r>
        <w:rPr>
          <w:rFonts w:hint="eastAsia"/>
          <w:b/>
          <w:color w:val="auto"/>
          <w:sz w:val="24"/>
        </w:rPr>
        <w:t>情况</w:t>
      </w:r>
    </w:p>
    <w:p>
      <w:pPr>
        <w:pStyle w:val="12"/>
        <w:keepNext w:val="0"/>
        <w:keepLines w:val="0"/>
        <w:pageBreakBefore w:val="0"/>
        <w:widowControl/>
        <w:kinsoku/>
        <w:wordWrap/>
        <w:overflowPunct/>
        <w:topLinePunct w:val="0"/>
        <w:bidi w:val="0"/>
        <w:adjustRightInd/>
        <w:snapToGrid/>
        <w:spacing w:before="0" w:beforeAutospacing="0" w:after="0" w:afterAutospacing="0" w:line="440" w:lineRule="exact"/>
        <w:ind w:firstLine="480" w:firstLineChars="200"/>
        <w:jc w:val="both"/>
        <w:textAlignment w:val="auto"/>
        <w:rPr>
          <w:rFonts w:ascii="宋体" w:hAnsi="宋体" w:cs="宋体"/>
          <w:color w:val="auto"/>
        </w:rPr>
      </w:pPr>
      <w:r>
        <w:rPr>
          <w:rFonts w:hint="eastAsia"/>
          <w:color w:val="auto"/>
        </w:rPr>
        <w:t>为进一步提升人才培养质量，学校对学历继续教育招生专业规模进行规划控制。202</w:t>
      </w:r>
      <w:r>
        <w:rPr>
          <w:rFonts w:hint="eastAsia"/>
          <w:color w:val="auto"/>
          <w:lang w:val="en-US" w:eastAsia="zh-CN"/>
        </w:rPr>
        <w:t>3</w:t>
      </w:r>
      <w:r>
        <w:rPr>
          <w:rFonts w:hint="eastAsia"/>
          <w:color w:val="auto"/>
        </w:rPr>
        <w:t>年共开设高中起点专科专业2</w:t>
      </w:r>
      <w:r>
        <w:rPr>
          <w:rFonts w:hint="eastAsia"/>
          <w:color w:val="auto"/>
          <w:lang w:val="en-US" w:eastAsia="zh-CN"/>
        </w:rPr>
        <w:t>5</w:t>
      </w:r>
      <w:r>
        <w:rPr>
          <w:rFonts w:hint="eastAsia"/>
          <w:color w:val="auto"/>
        </w:rPr>
        <w:t>个，</w:t>
      </w:r>
      <w:r>
        <w:rPr>
          <w:rFonts w:hint="eastAsia" w:ascii="宋体" w:hAnsi="宋体" w:cs="宋体"/>
          <w:color w:val="auto"/>
        </w:rPr>
        <w:t>涵盖了电子信息、装备制造、建筑、财经商贸、教育、农林、医药卫生、旅游、艺术等多专业大类。</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rFonts w:hint="default" w:eastAsia="宋体"/>
          <w:b/>
          <w:color w:val="auto"/>
          <w:sz w:val="24"/>
          <w:lang w:val="en-US" w:eastAsia="zh-CN"/>
        </w:rPr>
      </w:pPr>
      <w:bookmarkStart w:id="5" w:name="_Toc2671"/>
      <w:r>
        <w:rPr>
          <w:rFonts w:hint="eastAsia"/>
          <w:b/>
          <w:color w:val="auto"/>
          <w:sz w:val="24"/>
        </w:rPr>
        <w:t>（二）学历继续教育专业调整</w:t>
      </w:r>
      <w:bookmarkEnd w:id="5"/>
      <w:r>
        <w:rPr>
          <w:rFonts w:hint="eastAsia"/>
          <w:b/>
          <w:color w:val="auto"/>
          <w:sz w:val="24"/>
        </w:rPr>
        <w:t>情况</w:t>
      </w:r>
      <w:r>
        <w:rPr>
          <w:rFonts w:hint="eastAsia"/>
          <w:b/>
          <w:color w:val="auto"/>
          <w:sz w:val="24"/>
          <w:lang w:val="en-US" w:eastAsia="zh-CN"/>
        </w:rPr>
        <w:t>及思路进展</w:t>
      </w:r>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ascii="宋体" w:hAnsi="宋体" w:cs="宋体"/>
          <w:color w:val="auto"/>
          <w:sz w:val="24"/>
        </w:rPr>
        <w:t>学历继续教育专业设置以优势特色专业教学资源为基础，以服务区域经济社会发展需求为导向，每年均对招生专业进行动态评估调整。根据</w:t>
      </w:r>
      <w:r>
        <w:rPr>
          <w:rFonts w:hint="eastAsia" w:ascii="宋体" w:hAnsi="宋体" w:cs="宋体"/>
          <w:color w:val="auto"/>
          <w:sz w:val="24"/>
          <w:lang w:val="en-US" w:eastAsia="zh-CN"/>
        </w:rPr>
        <w:t>近三</w:t>
      </w:r>
      <w:r>
        <w:rPr>
          <w:rFonts w:hint="eastAsia" w:ascii="宋体" w:hAnsi="宋体" w:cs="宋体"/>
          <w:color w:val="auto"/>
          <w:sz w:val="24"/>
        </w:rPr>
        <w:t>年招生</w:t>
      </w:r>
      <w:r>
        <w:rPr>
          <w:rFonts w:hint="eastAsia" w:ascii="宋体" w:hAnsi="宋体" w:cs="宋体"/>
          <w:color w:val="auto"/>
          <w:sz w:val="24"/>
          <w:lang w:val="en-US" w:eastAsia="zh-CN"/>
        </w:rPr>
        <w:t>人数</w:t>
      </w: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color w:val="auto"/>
          <w:sz w:val="24"/>
          <w:lang w:val="en-US" w:eastAsia="zh-CN"/>
        </w:rPr>
        <w:t>在2022年基础上</w:t>
      </w:r>
      <w:r>
        <w:rPr>
          <w:rFonts w:hint="eastAsia" w:ascii="宋体" w:hAnsi="宋体" w:cs="宋体"/>
          <w:color w:val="auto"/>
          <w:sz w:val="24"/>
        </w:rPr>
        <w:t>停招</w:t>
      </w:r>
      <w:r>
        <w:rPr>
          <w:rFonts w:hint="eastAsia" w:ascii="宋体" w:hAnsi="宋体" w:cs="宋体"/>
          <w:color w:val="auto"/>
          <w:sz w:val="24"/>
          <w:lang w:val="en-US" w:eastAsia="zh-CN"/>
        </w:rPr>
        <w:t>软件技术和工程造价2</w:t>
      </w:r>
      <w:r>
        <w:rPr>
          <w:rFonts w:hint="eastAsia" w:ascii="宋体" w:hAnsi="宋体" w:cs="宋体"/>
          <w:color w:val="auto"/>
          <w:sz w:val="24"/>
        </w:rPr>
        <w:t>个专业。</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bookmarkStart w:id="6" w:name="_Toc4823"/>
      <w:r>
        <w:rPr>
          <w:rFonts w:hint="eastAsia"/>
          <w:b/>
          <w:color w:val="auto"/>
          <w:sz w:val="30"/>
          <w:szCs w:val="30"/>
        </w:rPr>
        <w:t>三、人才培养</w:t>
      </w:r>
      <w:bookmarkEnd w:id="6"/>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7" w:name="_Toc29337"/>
      <w:r>
        <w:rPr>
          <w:rFonts w:hint="eastAsia"/>
          <w:b/>
          <w:color w:val="auto"/>
          <w:sz w:val="24"/>
        </w:rPr>
        <w:t>（一）学历继续教育情况</w:t>
      </w:r>
      <w:bookmarkEnd w:id="7"/>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color w:val="auto"/>
          <w:sz w:val="24"/>
        </w:rPr>
        <w:t>学校学历继续教育只有高起专一种办学层次，仅面向省内招生，分函授和业余两种学习形式。在规范学历继续教育校外教学点管理的前提下，</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年招生录取1818人，</w:t>
      </w:r>
      <w:r>
        <w:rPr>
          <w:rFonts w:hint="eastAsia" w:asciiTheme="minorEastAsia" w:hAnsiTheme="minorEastAsia" w:eastAsiaTheme="minorEastAsia" w:cstheme="minorEastAsia"/>
          <w:color w:val="auto"/>
          <w:sz w:val="24"/>
          <w:lang w:val="en-US" w:eastAsia="zh-CN"/>
        </w:rPr>
        <w:t>在籍7032</w:t>
      </w:r>
      <w:r>
        <w:rPr>
          <w:rFonts w:hint="eastAsia" w:asciiTheme="minorEastAsia" w:hAnsiTheme="minorEastAsia" w:eastAsiaTheme="minorEastAsia" w:cstheme="minorEastAsia"/>
          <w:color w:val="auto"/>
          <w:sz w:val="24"/>
        </w:rPr>
        <w:t>人，毕业</w:t>
      </w:r>
      <w:r>
        <w:rPr>
          <w:rFonts w:hint="eastAsia" w:asciiTheme="minorEastAsia" w:hAnsiTheme="minorEastAsia" w:eastAsiaTheme="minorEastAsia" w:cstheme="minorEastAsia"/>
          <w:color w:val="auto"/>
          <w:sz w:val="24"/>
          <w:lang w:val="en-US" w:eastAsia="zh-CN"/>
        </w:rPr>
        <w:t>2936</w:t>
      </w:r>
      <w:r>
        <w:rPr>
          <w:rFonts w:hint="eastAsia" w:asciiTheme="minorEastAsia" w:hAnsiTheme="minorEastAsia" w:eastAsiaTheme="minorEastAsia" w:cstheme="minorEastAsia"/>
          <w:color w:val="auto"/>
          <w:sz w:val="24"/>
        </w:rPr>
        <w:t>人</w:t>
      </w:r>
      <w:r>
        <w:rPr>
          <w:rFonts w:hint="eastAsia"/>
          <w:color w:val="auto"/>
          <w:sz w:val="24"/>
        </w:rPr>
        <w:t>。学校规范开展教学管理各环节工作，合理安排教学进程，聘任部分行业企业骨干与技能大师充实师资力量，定期组织面授辅导检查，加强教学档案管理，保障专业人才培养方案落实到位。</w:t>
      </w:r>
    </w:p>
    <w:p>
      <w:pPr>
        <w:keepNext w:val="0"/>
        <w:keepLines w:val="0"/>
        <w:pageBreakBefore w:val="0"/>
        <w:numPr>
          <w:ilvl w:val="0"/>
          <w:numId w:val="1"/>
        </w:numPr>
        <w:kinsoku/>
        <w:wordWrap/>
        <w:overflowPunct/>
        <w:topLinePunct w:val="0"/>
        <w:bidi w:val="0"/>
        <w:adjustRightInd/>
        <w:snapToGrid/>
        <w:spacing w:line="440" w:lineRule="exact"/>
        <w:ind w:firstLine="482" w:firstLineChars="200"/>
        <w:textAlignment w:val="auto"/>
        <w:outlineLvl w:val="1"/>
        <w:rPr>
          <w:b/>
          <w:color w:val="auto"/>
          <w:sz w:val="24"/>
        </w:rPr>
      </w:pPr>
      <w:bookmarkStart w:id="8" w:name="_Toc29134"/>
      <w:bookmarkStart w:id="9" w:name="_Toc4908"/>
      <w:r>
        <w:rPr>
          <w:rFonts w:hint="eastAsia"/>
          <w:b/>
          <w:color w:val="auto"/>
          <w:sz w:val="24"/>
        </w:rPr>
        <w:t>非学历教育情况</w:t>
      </w:r>
      <w:bookmarkEnd w:id="8"/>
    </w:p>
    <w:bookmarkEnd w:id="9"/>
    <w:p>
      <w:pPr>
        <w:keepNext w:val="0"/>
        <w:keepLines w:val="0"/>
        <w:pageBreakBefore w:val="0"/>
        <w:kinsoku/>
        <w:wordWrap/>
        <w:overflowPunct/>
        <w:topLinePunct w:val="0"/>
        <w:bidi w:val="0"/>
        <w:adjustRightInd/>
        <w:snapToGrid/>
        <w:spacing w:line="440" w:lineRule="exact"/>
        <w:ind w:firstLine="480" w:firstLineChars="200"/>
        <w:textAlignment w:val="auto"/>
        <w:rPr>
          <w:rFonts w:ascii="宋体" w:hAnsi="宋体" w:cs="宋体"/>
          <w:color w:val="FF0000"/>
          <w:sz w:val="24"/>
          <w:highlight w:val="none"/>
        </w:rPr>
      </w:pPr>
      <w:bookmarkStart w:id="10" w:name="_Toc8909"/>
      <w:r>
        <w:rPr>
          <w:rFonts w:hint="eastAsia" w:ascii="宋体" w:hAnsi="宋体" w:cs="宋体"/>
          <w:sz w:val="24"/>
          <w:highlight w:val="none"/>
        </w:rPr>
        <w:t>2</w:t>
      </w:r>
      <w:r>
        <w:rPr>
          <w:rFonts w:ascii="宋体" w:hAnsi="宋体" w:cs="宋体"/>
          <w:sz w:val="24"/>
          <w:highlight w:val="none"/>
        </w:rPr>
        <w:t>023</w:t>
      </w:r>
      <w:r>
        <w:rPr>
          <w:rFonts w:hint="eastAsia" w:ascii="宋体" w:hAnsi="宋体" w:cs="宋体"/>
          <w:sz w:val="24"/>
          <w:highlight w:val="none"/>
        </w:rPr>
        <w:t>年，学校充分发挥专业优势，主动拥抱政行企校，持续做大做强职业培训规模与质量。成功申报职业学校校长等国家级培训基地3个、职业院校服务全民终身学习项目第二批实验校等省级培训基地5个，承办</w:t>
      </w:r>
      <w:r>
        <w:rPr>
          <w:rFonts w:hint="eastAsia" w:ascii="宋体" w:hAnsi="宋体" w:cs="宋体"/>
          <w:sz w:val="24"/>
          <w:highlight w:val="none"/>
          <w:lang w:val="en-US" w:eastAsia="zh-CN"/>
        </w:rPr>
        <w:t>及申报</w:t>
      </w:r>
      <w:r>
        <w:rPr>
          <w:rFonts w:hint="eastAsia" w:ascii="宋体" w:hAnsi="宋体" w:cs="宋体"/>
          <w:sz w:val="24"/>
          <w:highlight w:val="none"/>
        </w:rPr>
        <w:t>国家级和国际交流项目</w:t>
      </w:r>
      <w:r>
        <w:rPr>
          <w:rFonts w:ascii="宋体" w:hAnsi="宋体" w:cs="宋体"/>
          <w:sz w:val="24"/>
          <w:highlight w:val="none"/>
        </w:rPr>
        <w:t>5</w:t>
      </w:r>
      <w:r>
        <w:rPr>
          <w:rFonts w:hint="eastAsia" w:ascii="宋体" w:hAnsi="宋体" w:cs="宋体"/>
          <w:sz w:val="24"/>
          <w:highlight w:val="none"/>
        </w:rPr>
        <w:t>项，入选教育部乡村振兴等国家级典型案例4项、省级典型案例</w:t>
      </w:r>
      <w:r>
        <w:rPr>
          <w:rFonts w:ascii="宋体" w:hAnsi="宋体" w:cs="宋体"/>
          <w:sz w:val="24"/>
          <w:highlight w:val="none"/>
        </w:rPr>
        <w:t>1</w:t>
      </w:r>
      <w:r>
        <w:rPr>
          <w:rFonts w:hint="eastAsia" w:ascii="宋体" w:hAnsi="宋体" w:cs="宋体"/>
          <w:sz w:val="24"/>
          <w:highlight w:val="none"/>
        </w:rPr>
        <w:t>项。</w:t>
      </w:r>
      <w:r>
        <w:rPr>
          <w:rFonts w:hint="eastAsia" w:ascii="宋体" w:hAnsi="宋体" w:cs="宋体"/>
          <w:color w:val="auto"/>
          <w:sz w:val="24"/>
          <w:highlight w:val="none"/>
        </w:rPr>
        <w:t>利用“管办分离”办学优势，充分调动二级学院培训积极性，开展各类职业技能、职业院校、乡村振兴、退役军人等培训项目</w:t>
      </w:r>
      <w:r>
        <w:rPr>
          <w:rFonts w:ascii="宋体" w:hAnsi="宋体" w:cs="宋体"/>
          <w:color w:val="auto"/>
          <w:sz w:val="24"/>
          <w:highlight w:val="none"/>
        </w:rPr>
        <w:t>1226</w:t>
      </w:r>
      <w:r>
        <w:rPr>
          <w:rFonts w:hint="eastAsia" w:ascii="宋体" w:hAnsi="宋体" w:cs="宋体"/>
          <w:color w:val="auto"/>
          <w:sz w:val="24"/>
          <w:highlight w:val="none"/>
        </w:rPr>
        <w:t>项，培训学员</w:t>
      </w:r>
      <w:r>
        <w:rPr>
          <w:rFonts w:ascii="宋体" w:hAnsi="宋体" w:cs="宋体"/>
          <w:color w:val="auto"/>
          <w:sz w:val="24"/>
          <w:highlight w:val="none"/>
        </w:rPr>
        <w:t>12.38</w:t>
      </w:r>
      <w:r>
        <w:rPr>
          <w:rFonts w:hint="eastAsia" w:ascii="宋体" w:hAnsi="宋体" w:cs="宋体"/>
          <w:color w:val="auto"/>
          <w:sz w:val="24"/>
          <w:highlight w:val="none"/>
        </w:rPr>
        <w:t>万人次，</w:t>
      </w:r>
      <w:r>
        <w:rPr>
          <w:rFonts w:hint="eastAsia" w:ascii="宋体" w:hAnsi="宋体" w:cs="宋体"/>
          <w:sz w:val="24"/>
          <w:highlight w:val="none"/>
        </w:rPr>
        <w:t>打造面向农民、企业员工、教师等对象的培训品牌</w:t>
      </w:r>
      <w:r>
        <w:rPr>
          <w:rFonts w:ascii="宋体" w:hAnsi="宋体" w:cs="宋体"/>
          <w:sz w:val="24"/>
          <w:highlight w:val="none"/>
        </w:rPr>
        <w:t>5</w:t>
      </w:r>
      <w:r>
        <w:rPr>
          <w:rFonts w:hint="eastAsia" w:ascii="宋体" w:hAnsi="宋体" w:cs="宋体"/>
          <w:sz w:val="24"/>
          <w:highlight w:val="none"/>
        </w:rPr>
        <w:t>个，为服务全民终身学习贡献力量。其中，在2</w:t>
      </w:r>
      <w:r>
        <w:rPr>
          <w:rFonts w:ascii="宋体" w:hAnsi="宋体" w:cs="宋体"/>
          <w:sz w:val="24"/>
          <w:highlight w:val="none"/>
        </w:rPr>
        <w:t>023</w:t>
      </w:r>
      <w:r>
        <w:rPr>
          <w:rFonts w:hint="eastAsia" w:ascii="宋体" w:hAnsi="宋体" w:cs="宋体"/>
          <w:sz w:val="24"/>
          <w:highlight w:val="none"/>
        </w:rPr>
        <w:t>年浙江省十大民生实事中高质量职业技能培训工作方面，学校</w:t>
      </w:r>
      <w:r>
        <w:rPr>
          <w:rFonts w:ascii="宋体" w:hAnsi="宋体" w:cs="宋体"/>
          <w:sz w:val="24"/>
          <w:highlight w:val="none"/>
        </w:rPr>
        <w:t>通过月中反馈、月末OA公示等方式，</w:t>
      </w:r>
      <w:r>
        <w:rPr>
          <w:rFonts w:hint="eastAsia" w:ascii="宋体" w:hAnsi="宋体" w:cs="宋体"/>
          <w:sz w:val="24"/>
          <w:highlight w:val="none"/>
        </w:rPr>
        <w:t>定期</w:t>
      </w:r>
      <w:r>
        <w:rPr>
          <w:rFonts w:ascii="宋体" w:hAnsi="宋体" w:cs="宋体"/>
          <w:sz w:val="24"/>
          <w:highlight w:val="none"/>
        </w:rPr>
        <w:t>督促</w:t>
      </w:r>
      <w:r>
        <w:rPr>
          <w:rFonts w:hint="eastAsia" w:ascii="宋体" w:hAnsi="宋体" w:cs="宋体"/>
          <w:sz w:val="24"/>
          <w:highlight w:val="none"/>
        </w:rPr>
        <w:t>方式，全年完成32学时以上培训项目665项，培训学员4.7万人，</w:t>
      </w:r>
      <w:r>
        <w:rPr>
          <w:rFonts w:ascii="宋体" w:hAnsi="宋体" w:cs="宋体"/>
          <w:sz w:val="24"/>
          <w:highlight w:val="none"/>
        </w:rPr>
        <w:t>达到考核</w:t>
      </w:r>
      <w:r>
        <w:rPr>
          <w:rFonts w:hint="eastAsia" w:ascii="宋体" w:hAnsi="宋体" w:cs="宋体"/>
          <w:sz w:val="24"/>
          <w:highlight w:val="none"/>
        </w:rPr>
        <w:t>指</w:t>
      </w:r>
      <w:r>
        <w:rPr>
          <w:rFonts w:ascii="宋体" w:hAnsi="宋体" w:cs="宋体"/>
          <w:sz w:val="24"/>
          <w:highlight w:val="none"/>
        </w:rPr>
        <w:t>标的120%</w:t>
      </w:r>
      <w:r>
        <w:rPr>
          <w:rFonts w:hint="eastAsia" w:ascii="宋体" w:hAnsi="宋体" w:cs="宋体"/>
          <w:sz w:val="24"/>
          <w:highlight w:val="none"/>
        </w:rPr>
        <w:t>，培训规模达到在校生数的2倍以上。同时成功申报人社部门</w:t>
      </w:r>
      <w:r>
        <w:rPr>
          <w:rFonts w:ascii="宋体" w:hAnsi="宋体" w:cs="宋体"/>
          <w:sz w:val="24"/>
          <w:highlight w:val="none"/>
        </w:rPr>
        <w:t>27个新工种</w:t>
      </w:r>
      <w:r>
        <w:rPr>
          <w:rFonts w:hint="eastAsia" w:ascii="宋体" w:hAnsi="宋体" w:cs="宋体"/>
          <w:sz w:val="24"/>
          <w:highlight w:val="none"/>
        </w:rPr>
        <w:t>，为社会人员和在校生考证工作夯实基础。学校也连续多年入围全国高职“服务贡献50强”。</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r>
        <w:rPr>
          <w:rFonts w:hint="eastAsia"/>
          <w:b/>
          <w:color w:val="auto"/>
          <w:sz w:val="30"/>
          <w:szCs w:val="30"/>
        </w:rPr>
        <w:t>四、质量保证</w:t>
      </w:r>
      <w:bookmarkEnd w:id="10"/>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11" w:name="_Toc26282"/>
      <w:r>
        <w:rPr>
          <w:rFonts w:hint="eastAsia"/>
          <w:b/>
          <w:color w:val="auto"/>
          <w:sz w:val="24"/>
        </w:rPr>
        <w:t>（一）制度建设</w:t>
      </w:r>
      <w:bookmarkEnd w:id="11"/>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color w:val="auto"/>
          <w:sz w:val="24"/>
        </w:rPr>
        <w:t>学校继续教育实行制度、规划和重大事项通过党委会/</w:t>
      </w:r>
      <w:r>
        <w:rPr>
          <w:rFonts w:hint="eastAsia"/>
          <w:color w:val="auto"/>
          <w:sz w:val="24"/>
          <w:lang w:val="en-US" w:eastAsia="zh-CN"/>
        </w:rPr>
        <w:t>院</w:t>
      </w:r>
      <w:r>
        <w:rPr>
          <w:rFonts w:hint="eastAsia"/>
          <w:color w:val="auto"/>
          <w:sz w:val="24"/>
        </w:rPr>
        <w:t>长办公会、双代会研究决定的工作机制。目前学历继续教育有</w:t>
      </w:r>
      <w:r>
        <w:rPr>
          <w:rFonts w:hint="eastAsia"/>
          <w:color w:val="auto"/>
          <w:sz w:val="24"/>
          <w:lang w:val="en-US" w:eastAsia="zh-CN"/>
        </w:rPr>
        <w:t>5</w:t>
      </w:r>
      <w:r>
        <w:rPr>
          <w:rFonts w:hint="eastAsia"/>
          <w:color w:val="auto"/>
          <w:sz w:val="24"/>
        </w:rPr>
        <w:t>个相关规定，非学历继续教育有</w:t>
      </w:r>
      <w:r>
        <w:rPr>
          <w:rFonts w:hint="eastAsia"/>
          <w:color w:val="auto"/>
          <w:sz w:val="24"/>
          <w:lang w:val="en-US" w:eastAsia="zh-CN"/>
        </w:rPr>
        <w:t>5</w:t>
      </w:r>
      <w:r>
        <w:rPr>
          <w:rFonts w:hint="eastAsia"/>
          <w:color w:val="auto"/>
          <w:sz w:val="24"/>
        </w:rPr>
        <w:t>个管理办法</w:t>
      </w:r>
      <w:bookmarkStart w:id="12" w:name="_Toc392580293"/>
      <w:bookmarkStart w:id="13" w:name="_Toc388425439"/>
      <w:r>
        <w:rPr>
          <w:rFonts w:hint="eastAsia"/>
          <w:color w:val="auto"/>
          <w:sz w:val="24"/>
        </w:rPr>
        <w:t>，</w:t>
      </w:r>
      <w:r>
        <w:rPr>
          <w:rFonts w:hint="eastAsia"/>
          <w:color w:val="auto"/>
          <w:sz w:val="24"/>
          <w:lang w:val="en-US" w:eastAsia="zh-CN"/>
        </w:rPr>
        <w:t>学校</w:t>
      </w:r>
      <w:r>
        <w:rPr>
          <w:rFonts w:hint="eastAsia"/>
          <w:color w:val="auto"/>
          <w:sz w:val="24"/>
        </w:rPr>
        <w:t>根据上级教育行政部门的政策要求及时进行修订、补充、完善。</w:t>
      </w:r>
    </w:p>
    <w:bookmarkEnd w:id="12"/>
    <w:bookmarkEnd w:id="13"/>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14" w:name="_Toc6406"/>
      <w:r>
        <w:rPr>
          <w:rFonts w:hint="eastAsia"/>
          <w:b/>
          <w:color w:val="auto"/>
          <w:sz w:val="24"/>
        </w:rPr>
        <w:t>（二）师资保障</w:t>
      </w:r>
      <w:bookmarkEnd w:id="14"/>
      <w:r>
        <w:rPr>
          <w:rFonts w:hint="eastAsia"/>
          <w:b/>
          <w:color w:val="auto"/>
          <w:sz w:val="24"/>
        </w:rPr>
        <w:t xml:space="preserve"> </w:t>
      </w:r>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color w:val="auto"/>
          <w:sz w:val="24"/>
        </w:rPr>
        <w:t>学历继续教育师资队伍专兼结合、师德高尚、业务精良。学校参与学历继续教育的</w:t>
      </w:r>
      <w:r>
        <w:rPr>
          <w:rFonts w:hint="eastAsia"/>
          <w:color w:val="auto"/>
          <w:sz w:val="24"/>
          <w:lang w:val="en-US" w:eastAsia="zh-CN"/>
        </w:rPr>
        <w:t>教职工有637人，</w:t>
      </w:r>
      <w:r>
        <w:rPr>
          <w:rFonts w:hint="eastAsia"/>
          <w:color w:val="auto"/>
          <w:sz w:val="24"/>
        </w:rPr>
        <w:t>其中</w:t>
      </w:r>
      <w:r>
        <w:rPr>
          <w:rFonts w:hint="eastAsia"/>
          <w:color w:val="auto"/>
          <w:sz w:val="24"/>
          <w:lang w:val="en-US" w:eastAsia="zh-CN"/>
        </w:rPr>
        <w:t>主讲教师数量为461人，本校专任教师305人，本校占比超66%，</w:t>
      </w:r>
      <w:r>
        <w:rPr>
          <w:rFonts w:hint="eastAsia"/>
          <w:color w:val="auto"/>
          <w:sz w:val="24"/>
        </w:rPr>
        <w:t>副高以上职称</w:t>
      </w:r>
      <w:r>
        <w:rPr>
          <w:rFonts w:hint="eastAsia"/>
          <w:color w:val="auto"/>
          <w:sz w:val="24"/>
          <w:lang w:val="en-US" w:eastAsia="zh-CN"/>
        </w:rPr>
        <w:t>110</w:t>
      </w:r>
      <w:r>
        <w:rPr>
          <w:rFonts w:hint="eastAsia"/>
          <w:color w:val="auto"/>
          <w:sz w:val="24"/>
        </w:rPr>
        <w:t>人</w:t>
      </w:r>
      <w:r>
        <w:rPr>
          <w:rFonts w:hint="eastAsia"/>
          <w:color w:val="auto"/>
          <w:sz w:val="24"/>
          <w:lang w:eastAsia="zh-CN"/>
        </w:rPr>
        <w:t>，</w:t>
      </w:r>
      <w:r>
        <w:rPr>
          <w:rFonts w:hint="eastAsia"/>
          <w:color w:val="auto"/>
          <w:sz w:val="24"/>
        </w:rPr>
        <w:t>满足教学需求。</w:t>
      </w:r>
    </w:p>
    <w:p>
      <w:pPr>
        <w:keepNext w:val="0"/>
        <w:keepLines w:val="0"/>
        <w:pageBreakBefore w:val="0"/>
        <w:kinsoku/>
        <w:wordWrap/>
        <w:overflowPunct/>
        <w:topLinePunct w:val="0"/>
        <w:bidi w:val="0"/>
        <w:adjustRightInd/>
        <w:snapToGrid/>
        <w:spacing w:line="440" w:lineRule="exact"/>
        <w:ind w:firstLine="482" w:firstLineChars="200"/>
        <w:textAlignment w:val="auto"/>
        <w:rPr>
          <w:b/>
          <w:bCs/>
          <w:color w:val="auto"/>
          <w:sz w:val="24"/>
        </w:rPr>
      </w:pPr>
      <w:r>
        <w:rPr>
          <w:rFonts w:hint="eastAsia"/>
          <w:b/>
          <w:bCs/>
          <w:color w:val="auto"/>
          <w:sz w:val="24"/>
        </w:rPr>
        <w:t>（三）管理人员配备</w:t>
      </w:r>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color w:val="auto"/>
          <w:sz w:val="24"/>
        </w:rPr>
        <w:t>管理队伍专业化建设持续推进，继续教育处现有管理人员</w:t>
      </w:r>
      <w:r>
        <w:rPr>
          <w:rFonts w:hint="eastAsia"/>
          <w:color w:val="auto"/>
          <w:sz w:val="24"/>
          <w:lang w:val="en-US" w:eastAsia="zh-CN"/>
        </w:rPr>
        <w:t>10</w:t>
      </w:r>
      <w:r>
        <w:rPr>
          <w:rFonts w:hint="eastAsia"/>
          <w:color w:val="auto"/>
          <w:sz w:val="24"/>
        </w:rPr>
        <w:t>人，各二级学院有</w:t>
      </w:r>
      <w:r>
        <w:rPr>
          <w:rFonts w:hint="eastAsia"/>
          <w:color w:val="auto"/>
          <w:sz w:val="24"/>
          <w:lang w:val="en-US" w:eastAsia="zh-CN"/>
        </w:rPr>
        <w:t>专职</w:t>
      </w:r>
      <w:r>
        <w:rPr>
          <w:rFonts w:hint="eastAsia"/>
          <w:color w:val="auto"/>
          <w:sz w:val="24"/>
        </w:rPr>
        <w:t>管理人员</w:t>
      </w:r>
      <w:r>
        <w:rPr>
          <w:rFonts w:hint="eastAsia"/>
          <w:color w:val="auto"/>
          <w:sz w:val="24"/>
          <w:lang w:val="en-US" w:eastAsia="zh-CN"/>
        </w:rPr>
        <w:t>96</w:t>
      </w:r>
      <w:r>
        <w:rPr>
          <w:rFonts w:hint="eastAsia"/>
          <w:color w:val="auto"/>
          <w:sz w:val="24"/>
        </w:rPr>
        <w:t>人，各教学点有管理人员125人，能较好胜任各项业务管理服务需求。</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sz w:val="24"/>
        </w:rPr>
      </w:pPr>
      <w:bookmarkStart w:id="15" w:name="_Toc17808"/>
      <w:r>
        <w:rPr>
          <w:rFonts w:hint="eastAsia"/>
          <w:b/>
          <w:sz w:val="24"/>
        </w:rPr>
        <w:t>（四）资源建设</w:t>
      </w:r>
      <w:bookmarkEnd w:id="15"/>
    </w:p>
    <w:p>
      <w:pPr>
        <w:keepNext w:val="0"/>
        <w:keepLines w:val="0"/>
        <w:pageBreakBefore w:val="0"/>
        <w:kinsoku/>
        <w:wordWrap/>
        <w:overflowPunct/>
        <w:topLinePunct w:val="0"/>
        <w:bidi w:val="0"/>
        <w:adjustRightInd/>
        <w:snapToGrid/>
        <w:spacing w:line="440" w:lineRule="exact"/>
        <w:ind w:firstLine="480" w:firstLineChars="200"/>
        <w:textAlignment w:val="auto"/>
        <w:rPr>
          <w:color w:val="auto"/>
          <w:sz w:val="24"/>
        </w:rPr>
      </w:pPr>
      <w:r>
        <w:rPr>
          <w:rFonts w:hint="eastAsia"/>
          <w:color w:val="auto"/>
          <w:sz w:val="24"/>
        </w:rPr>
        <w:t>学校针对成人学习特点，</w:t>
      </w:r>
      <w:r>
        <w:rPr>
          <w:rFonts w:hint="eastAsia" w:ascii="宋体" w:hAnsi="宋体" w:cs="宋体"/>
          <w:color w:val="auto"/>
          <w:sz w:val="24"/>
          <w:lang w:val="en-US" w:eastAsia="zh-CN"/>
        </w:rPr>
        <w:t>采用</w:t>
      </w:r>
      <w:r>
        <w:rPr>
          <w:rFonts w:hint="eastAsia"/>
          <w:color w:val="auto"/>
          <w:sz w:val="24"/>
        </w:rPr>
        <w:t>智慧职教、中国大学MOOC、浙江省高等学校在线开放课程共享平台等网络课程资源，</w:t>
      </w:r>
      <w:r>
        <w:rPr>
          <w:rFonts w:hint="eastAsia"/>
          <w:color w:val="auto"/>
          <w:sz w:val="24"/>
          <w:lang w:val="en-US" w:eastAsia="zh-CN"/>
        </w:rPr>
        <w:t>同时在终身教育学习平台上引进72门超星课程，</w:t>
      </w:r>
      <w:r>
        <w:rPr>
          <w:rFonts w:hint="eastAsia"/>
          <w:color w:val="auto"/>
          <w:sz w:val="24"/>
        </w:rPr>
        <w:t>保障了教学需要。年底总结提炼了学校服务终身学习的各类成果并制作成展板，向广大师生全面展示相关成果。</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sz w:val="24"/>
        </w:rPr>
      </w:pPr>
      <w:bookmarkStart w:id="16" w:name="_Toc18831"/>
      <w:r>
        <w:rPr>
          <w:rFonts w:hint="eastAsia"/>
          <w:b/>
          <w:sz w:val="24"/>
        </w:rPr>
        <w:t>（</w:t>
      </w:r>
      <w:r>
        <w:rPr>
          <w:rFonts w:hint="eastAsia"/>
          <w:b/>
          <w:sz w:val="24"/>
          <w:lang w:val="en-US" w:eastAsia="zh-CN"/>
        </w:rPr>
        <w:t>五</w:t>
      </w:r>
      <w:r>
        <w:rPr>
          <w:rFonts w:hint="eastAsia"/>
          <w:b/>
          <w:sz w:val="24"/>
        </w:rPr>
        <w:t>）内部外部质量保障</w:t>
      </w:r>
      <w:bookmarkEnd w:id="16"/>
    </w:p>
    <w:p>
      <w:pPr>
        <w:keepNext w:val="0"/>
        <w:keepLines w:val="0"/>
        <w:pageBreakBefore w:val="0"/>
        <w:kinsoku/>
        <w:wordWrap/>
        <w:overflowPunct/>
        <w:topLinePunct w:val="0"/>
        <w:bidi w:val="0"/>
        <w:adjustRightInd/>
        <w:snapToGrid/>
        <w:spacing w:line="440" w:lineRule="exact"/>
        <w:ind w:firstLine="480" w:firstLineChars="200"/>
        <w:textAlignment w:val="auto"/>
        <w:rPr>
          <w:sz w:val="24"/>
        </w:rPr>
      </w:pPr>
      <w:r>
        <w:rPr>
          <w:rFonts w:hint="eastAsia"/>
          <w:sz w:val="24"/>
        </w:rPr>
        <w:t>1．内部质量保障。学校坚持办学规模与办学能力相适应的原则设置招生专业，严格把关校外教学点办学条件、执行合作办学协议和相关制度；重视教学过程的实施，把教师</w:t>
      </w:r>
      <w:r>
        <w:rPr>
          <w:rFonts w:hint="eastAsia"/>
          <w:sz w:val="24"/>
          <w:lang w:val="en-US" w:eastAsia="zh-CN"/>
        </w:rPr>
        <w:t>资质审核</w:t>
      </w:r>
      <w:r>
        <w:rPr>
          <w:rFonts w:hint="eastAsia"/>
          <w:sz w:val="24"/>
          <w:lang w:eastAsia="zh-CN"/>
        </w:rPr>
        <w:t>、</w:t>
      </w:r>
      <w:r>
        <w:rPr>
          <w:rFonts w:hint="eastAsia"/>
          <w:sz w:val="24"/>
        </w:rPr>
        <w:t>面授</w:t>
      </w:r>
      <w:r>
        <w:rPr>
          <w:rFonts w:hint="eastAsia"/>
          <w:sz w:val="24"/>
          <w:lang w:val="en-US" w:eastAsia="zh-CN"/>
        </w:rPr>
        <w:t>教学</w:t>
      </w:r>
      <w:r>
        <w:rPr>
          <w:rFonts w:hint="eastAsia"/>
          <w:sz w:val="24"/>
        </w:rPr>
        <w:t>和期末考试巡查作为推进质量管理的重要手段；组织专项检查，严格把关入学、学籍、考试、毕业、档案等工作，发现问题及时督促整改；定期召开学生、管理人员和面授老师等座谈会，不断提升教学质量与满意度。</w:t>
      </w:r>
    </w:p>
    <w:p>
      <w:pPr>
        <w:keepNext w:val="0"/>
        <w:keepLines w:val="0"/>
        <w:pageBreakBefore w:val="0"/>
        <w:kinsoku/>
        <w:wordWrap/>
        <w:overflowPunct/>
        <w:topLinePunct w:val="0"/>
        <w:bidi w:val="0"/>
        <w:adjustRightInd/>
        <w:snapToGrid/>
        <w:spacing w:line="440" w:lineRule="exact"/>
        <w:ind w:firstLine="480" w:firstLineChars="200"/>
        <w:textAlignment w:val="auto"/>
        <w:rPr>
          <w:sz w:val="24"/>
          <w:highlight w:val="none"/>
        </w:rPr>
      </w:pPr>
      <w:r>
        <w:rPr>
          <w:rFonts w:hint="eastAsia"/>
          <w:sz w:val="24"/>
          <w:highlight w:val="none"/>
        </w:rPr>
        <w:t>非学历教育方面，系统梳理近5年培训项目、收入、基地、制度、“五所学院”建设等内容，组织人员对材料进行多轮检查、反馈、修改，形成高质量职业培训材料，并打印装订成册。指派专人</w:t>
      </w:r>
      <w:r>
        <w:rPr>
          <w:sz w:val="24"/>
          <w:highlight w:val="none"/>
        </w:rPr>
        <w:t>对培训项目进行督查，及时反馈督查信息，撰写培训项目督查通报并通过OA进行公布</w:t>
      </w:r>
      <w:r>
        <w:rPr>
          <w:rFonts w:hint="eastAsia"/>
          <w:sz w:val="24"/>
          <w:highlight w:val="none"/>
        </w:rPr>
        <w:t>。</w:t>
      </w:r>
    </w:p>
    <w:p>
      <w:pPr>
        <w:keepNext w:val="0"/>
        <w:keepLines w:val="0"/>
        <w:pageBreakBefore w:val="0"/>
        <w:kinsoku/>
        <w:wordWrap/>
        <w:overflowPunct/>
        <w:topLinePunct w:val="0"/>
        <w:bidi w:val="0"/>
        <w:adjustRightInd/>
        <w:snapToGrid/>
        <w:spacing w:line="440" w:lineRule="exact"/>
        <w:ind w:firstLine="480" w:firstLineChars="200"/>
        <w:textAlignment w:val="auto"/>
        <w:rPr>
          <w:sz w:val="24"/>
        </w:rPr>
      </w:pPr>
      <w:r>
        <w:rPr>
          <w:rFonts w:hint="eastAsia"/>
          <w:sz w:val="24"/>
        </w:rPr>
        <w:t>2．外部质量保障。学校重视规范办学和质量建设，202</w:t>
      </w:r>
      <w:r>
        <w:rPr>
          <w:rFonts w:hint="eastAsia"/>
          <w:sz w:val="24"/>
          <w:lang w:val="en-US" w:eastAsia="zh-CN"/>
        </w:rPr>
        <w:t>3</w:t>
      </w:r>
      <w:r>
        <w:rPr>
          <w:rFonts w:hint="eastAsia"/>
          <w:sz w:val="24"/>
        </w:rPr>
        <w:t>年</w:t>
      </w:r>
      <w:r>
        <w:rPr>
          <w:rFonts w:hint="eastAsia"/>
          <w:sz w:val="24"/>
          <w:lang w:val="en-US" w:eastAsia="zh-CN"/>
        </w:rPr>
        <w:t>严格按照</w:t>
      </w:r>
      <w:r>
        <w:rPr>
          <w:rFonts w:hint="eastAsia"/>
          <w:sz w:val="24"/>
        </w:rPr>
        <w:t>校外教学点设置</w:t>
      </w:r>
      <w:r>
        <w:rPr>
          <w:rFonts w:hint="eastAsia"/>
          <w:sz w:val="24"/>
          <w:lang w:val="en-US" w:eastAsia="zh-CN"/>
        </w:rPr>
        <w:t>新标准在教育部平台备案5个教学点</w:t>
      </w:r>
      <w:r>
        <w:rPr>
          <w:rFonts w:hint="eastAsia"/>
          <w:sz w:val="24"/>
        </w:rPr>
        <w:t>。对招生专业组织论证会进行论证，由</w:t>
      </w:r>
      <w:r>
        <w:rPr>
          <w:rFonts w:hint="eastAsia"/>
          <w:sz w:val="24"/>
          <w:lang w:val="en-US" w:eastAsia="zh-CN"/>
        </w:rPr>
        <w:t>27</w:t>
      </w:r>
      <w:r>
        <w:rPr>
          <w:rFonts w:hint="eastAsia"/>
          <w:sz w:val="24"/>
        </w:rPr>
        <w:t>个缩减到</w:t>
      </w:r>
      <w:r>
        <w:rPr>
          <w:rFonts w:hint="eastAsia"/>
          <w:sz w:val="24"/>
          <w:lang w:val="en-US" w:eastAsia="zh-CN"/>
        </w:rPr>
        <w:t>25</w:t>
      </w:r>
      <w:r>
        <w:rPr>
          <w:rFonts w:hint="eastAsia"/>
          <w:sz w:val="24"/>
        </w:rPr>
        <w:t>个；征询报名学生意愿，开展专业班级整合，确保规模开班，引导教学点加大教学管理投入，确保教学质量。</w:t>
      </w:r>
    </w:p>
    <w:p>
      <w:pPr>
        <w:keepNext w:val="0"/>
        <w:keepLines w:val="0"/>
        <w:pageBreakBefore w:val="0"/>
        <w:kinsoku/>
        <w:wordWrap/>
        <w:overflowPunct/>
        <w:topLinePunct w:val="0"/>
        <w:bidi w:val="0"/>
        <w:adjustRightInd/>
        <w:snapToGrid/>
        <w:spacing w:line="440" w:lineRule="exact"/>
        <w:ind w:firstLine="480" w:firstLineChars="200"/>
        <w:textAlignment w:val="auto"/>
        <w:rPr>
          <w:sz w:val="24"/>
          <w:highlight w:val="none"/>
        </w:rPr>
      </w:pPr>
      <w:bookmarkStart w:id="17" w:name="_Toc20761"/>
      <w:r>
        <w:rPr>
          <w:rFonts w:hint="eastAsia"/>
          <w:sz w:val="24"/>
          <w:highlight w:val="none"/>
        </w:rPr>
        <w:t>学校承办的政府部门购买服务类和财政转移支付类职业培训项目均通过主办方或第三方审计与审查；全国职业院校类培训项目极速增加，也是市场对学校培训质量的认可。</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sz w:val="24"/>
        </w:rPr>
      </w:pPr>
      <w:r>
        <w:rPr>
          <w:rFonts w:hint="eastAsia"/>
          <w:b/>
          <w:sz w:val="24"/>
        </w:rPr>
        <w:t>（</w:t>
      </w:r>
      <w:r>
        <w:rPr>
          <w:rFonts w:hint="eastAsia"/>
          <w:b/>
          <w:sz w:val="24"/>
          <w:lang w:val="en-US" w:eastAsia="zh-CN"/>
        </w:rPr>
        <w:t>六</w:t>
      </w:r>
      <w:r>
        <w:rPr>
          <w:rFonts w:hint="eastAsia"/>
          <w:b/>
          <w:sz w:val="24"/>
        </w:rPr>
        <w:t>）信息化建设</w:t>
      </w:r>
      <w:bookmarkEnd w:id="17"/>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sz w:val="24"/>
        </w:rPr>
      </w:pPr>
      <w:r>
        <w:rPr>
          <w:rFonts w:hint="eastAsia"/>
          <w:sz w:val="24"/>
          <w:lang w:val="en-US" w:eastAsia="zh-CN"/>
        </w:rPr>
        <w:t>优化</w:t>
      </w:r>
      <w:r>
        <w:rPr>
          <w:rFonts w:hint="eastAsia"/>
          <w:bCs/>
          <w:sz w:val="24"/>
        </w:rPr>
        <w:t>学历管理平台</w:t>
      </w:r>
      <w:r>
        <w:rPr>
          <w:rFonts w:hint="eastAsia"/>
          <w:bCs/>
          <w:sz w:val="24"/>
          <w:lang w:val="en-US" w:eastAsia="zh-CN"/>
        </w:rPr>
        <w:t>，在实现</w:t>
      </w:r>
      <w:r>
        <w:rPr>
          <w:rFonts w:hint="eastAsia"/>
          <w:bCs/>
          <w:sz w:val="24"/>
        </w:rPr>
        <w:t>教学任务</w:t>
      </w:r>
      <w:r>
        <w:rPr>
          <w:rFonts w:hint="eastAsia"/>
          <w:bCs/>
          <w:sz w:val="24"/>
          <w:lang w:val="en-US" w:eastAsia="zh-CN"/>
        </w:rPr>
        <w:t>建设</w:t>
      </w:r>
      <w:r>
        <w:rPr>
          <w:rFonts w:hint="eastAsia"/>
          <w:bCs/>
          <w:sz w:val="24"/>
        </w:rPr>
        <w:t>、学籍异动、期末考试安排、成绩录入</w:t>
      </w:r>
      <w:r>
        <w:rPr>
          <w:rFonts w:hint="eastAsia"/>
          <w:bCs/>
          <w:sz w:val="24"/>
          <w:lang w:val="en-US" w:eastAsia="zh-CN"/>
        </w:rPr>
        <w:t>环节外，新增毕业审核和学生缴费环节，使学历继续教育信息化管理更加全面。同时在网络教学端引进超星72门课程，丰富</w:t>
      </w:r>
      <w:r>
        <w:rPr>
          <w:rFonts w:hint="eastAsia"/>
          <w:sz w:val="24"/>
        </w:rPr>
        <w:t>网络教学资源</w:t>
      </w:r>
      <w:r>
        <w:rPr>
          <w:rFonts w:hint="eastAsia"/>
          <w:sz w:val="24"/>
          <w:lang w:eastAsia="zh-CN"/>
        </w:rPr>
        <w:t>。</w:t>
      </w:r>
      <w:r>
        <w:rPr>
          <w:rFonts w:hint="eastAsia"/>
          <w:sz w:val="24"/>
          <w:highlight w:val="none"/>
        </w:rPr>
        <w:t>持续优化非学历教育综合服务平台，进一步明确用户需求，简化操作界面，规范操作流程，培训项目立项和线上报名、缴费等功能均已实现，基本实现培训工作数字化转型。</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bCs/>
          <w:sz w:val="24"/>
          <w:lang w:val="en-US" w:eastAsia="zh-CN"/>
        </w:rPr>
        <w:t>按</w:t>
      </w:r>
      <w:bookmarkStart w:id="29" w:name="_GoBack"/>
      <w:bookmarkEnd w:id="29"/>
      <w:r>
        <w:rPr>
          <w:rFonts w:hint="eastAsia" w:ascii="宋体" w:hAnsi="宋体" w:cs="宋体"/>
          <w:bCs/>
          <w:sz w:val="24"/>
          <w:lang w:val="en-US" w:eastAsia="zh-CN"/>
        </w:rPr>
        <w:t>要求完成学分银行系统建设，学分认定、存储、转化模块均已设置，</w:t>
      </w:r>
      <w:r>
        <w:rPr>
          <w:rFonts w:hint="eastAsia" w:ascii="宋体" w:hAnsi="宋体" w:cs="宋体"/>
          <w:sz w:val="24"/>
          <w:lang w:val="en-US" w:eastAsia="zh-CN"/>
        </w:rPr>
        <w:t>根据学校《继续教育学分银行管理规定（试行）》进行</w:t>
      </w:r>
      <w:r>
        <w:rPr>
          <w:rFonts w:hint="eastAsia" w:ascii="宋体" w:hAnsi="宋体" w:cs="宋体"/>
          <w:sz w:val="24"/>
        </w:rPr>
        <w:t>各类教育、培训成果的存储、认定与转换，满足社会成员多样化、个性化终身学习需求。</w:t>
      </w:r>
    </w:p>
    <w:p>
      <w:pPr>
        <w:keepNext w:val="0"/>
        <w:keepLines w:val="0"/>
        <w:pageBreakBefore w:val="0"/>
        <w:numPr>
          <w:ilvl w:val="0"/>
          <w:numId w:val="0"/>
        </w:numPr>
        <w:kinsoku/>
        <w:wordWrap/>
        <w:overflowPunct/>
        <w:topLinePunct w:val="0"/>
        <w:bidi w:val="0"/>
        <w:adjustRightInd/>
        <w:snapToGrid/>
        <w:spacing w:line="440" w:lineRule="exact"/>
        <w:ind w:firstLine="482" w:firstLineChars="200"/>
        <w:textAlignment w:val="auto"/>
        <w:outlineLvl w:val="1"/>
        <w:rPr>
          <w:b/>
          <w:sz w:val="24"/>
        </w:rPr>
      </w:pPr>
      <w:bookmarkStart w:id="18" w:name="_Toc24904"/>
      <w:r>
        <w:rPr>
          <w:rFonts w:hint="eastAsia"/>
          <w:b/>
          <w:sz w:val="24"/>
          <w:lang w:eastAsia="zh-CN"/>
        </w:rPr>
        <w:t>（</w:t>
      </w:r>
      <w:r>
        <w:rPr>
          <w:rFonts w:hint="eastAsia"/>
          <w:b/>
          <w:sz w:val="24"/>
          <w:lang w:val="en-US" w:eastAsia="zh-CN"/>
        </w:rPr>
        <w:t>七</w:t>
      </w:r>
      <w:r>
        <w:rPr>
          <w:rFonts w:hint="eastAsia"/>
          <w:b/>
          <w:sz w:val="24"/>
          <w:lang w:eastAsia="zh-CN"/>
        </w:rPr>
        <w:t>）</w:t>
      </w:r>
      <w:r>
        <w:rPr>
          <w:rFonts w:hint="eastAsia"/>
          <w:b/>
          <w:sz w:val="24"/>
        </w:rPr>
        <w:t>办学设施条件</w:t>
      </w:r>
    </w:p>
    <w:p>
      <w:pPr>
        <w:keepNext w:val="0"/>
        <w:keepLines w:val="0"/>
        <w:pageBreakBefore w:val="0"/>
        <w:kinsoku/>
        <w:wordWrap/>
        <w:overflowPunct/>
        <w:topLinePunct w:val="0"/>
        <w:bidi w:val="0"/>
        <w:adjustRightInd/>
        <w:snapToGrid/>
        <w:spacing w:line="440" w:lineRule="exact"/>
        <w:textAlignment w:val="auto"/>
        <w:outlineLvl w:val="1"/>
        <w:rPr>
          <w:b/>
          <w:color w:val="auto"/>
          <w:sz w:val="24"/>
        </w:rPr>
      </w:pPr>
      <w:r>
        <w:rPr>
          <w:rFonts w:hint="eastAsia"/>
          <w:b/>
          <w:sz w:val="24"/>
        </w:rPr>
        <w:t xml:space="preserve">   </w:t>
      </w:r>
      <w:r>
        <w:rPr>
          <w:rFonts w:hint="eastAsia"/>
          <w:bCs/>
          <w:sz w:val="24"/>
        </w:rPr>
        <w:t xml:space="preserve"> </w:t>
      </w:r>
      <w:r>
        <w:rPr>
          <w:rFonts w:hint="eastAsia"/>
          <w:bCs/>
          <w:color w:val="auto"/>
          <w:sz w:val="24"/>
        </w:rPr>
        <w:t>学校继续教育办学设施条件与全日制办学设施条件共享，教学</w:t>
      </w:r>
      <w:r>
        <w:rPr>
          <w:rFonts w:hint="eastAsia"/>
          <w:bCs/>
          <w:color w:val="auto"/>
          <w:sz w:val="24"/>
          <w:lang w:val="en-US" w:eastAsia="zh-CN"/>
        </w:rPr>
        <w:t>及辅助用房</w:t>
      </w:r>
      <w:r>
        <w:rPr>
          <w:rFonts w:hint="eastAsia"/>
          <w:bCs/>
          <w:color w:val="auto"/>
          <w:sz w:val="24"/>
        </w:rPr>
        <w:t>面积达</w:t>
      </w:r>
      <w:r>
        <w:rPr>
          <w:rFonts w:hint="eastAsia"/>
          <w:bCs/>
          <w:color w:val="auto"/>
          <w:sz w:val="24"/>
          <w:lang w:val="en-US" w:eastAsia="zh-CN"/>
        </w:rPr>
        <w:t>46</w:t>
      </w:r>
      <w:r>
        <w:rPr>
          <w:rFonts w:hint="eastAsia"/>
          <w:bCs/>
          <w:color w:val="auto"/>
          <w:sz w:val="24"/>
        </w:rPr>
        <w:t>多万平方米，多媒体教室、智慧教室和实训教室达</w:t>
      </w:r>
      <w:r>
        <w:rPr>
          <w:rFonts w:hint="eastAsia"/>
          <w:bCs/>
          <w:color w:val="auto"/>
          <w:sz w:val="24"/>
          <w:lang w:val="en-US" w:eastAsia="zh-CN"/>
        </w:rPr>
        <w:t>300</w:t>
      </w:r>
      <w:r>
        <w:rPr>
          <w:rFonts w:hint="eastAsia"/>
          <w:bCs/>
          <w:color w:val="auto"/>
          <w:sz w:val="24"/>
        </w:rPr>
        <w:t>余间，用于教学的计算机达</w:t>
      </w:r>
      <w:r>
        <w:rPr>
          <w:rFonts w:hint="eastAsia"/>
          <w:bCs/>
          <w:color w:val="auto"/>
          <w:sz w:val="24"/>
          <w:lang w:val="en-US" w:eastAsia="zh-CN"/>
        </w:rPr>
        <w:t>10</w:t>
      </w:r>
      <w:r>
        <w:rPr>
          <w:rFonts w:hint="eastAsia"/>
          <w:bCs/>
          <w:color w:val="auto"/>
          <w:sz w:val="24"/>
        </w:rPr>
        <w:t xml:space="preserve">000余台。  </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sz w:val="24"/>
        </w:rPr>
      </w:pPr>
      <w:r>
        <w:rPr>
          <w:rFonts w:hint="eastAsia"/>
          <w:b/>
          <w:sz w:val="24"/>
        </w:rPr>
        <w:t>（</w:t>
      </w:r>
      <w:r>
        <w:rPr>
          <w:rFonts w:hint="eastAsia"/>
          <w:b/>
          <w:sz w:val="24"/>
          <w:lang w:val="en-US" w:eastAsia="zh-CN"/>
        </w:rPr>
        <w:t>八）</w:t>
      </w:r>
      <w:r>
        <w:rPr>
          <w:rFonts w:hint="eastAsia"/>
          <w:b/>
          <w:sz w:val="24"/>
        </w:rPr>
        <w:t>经费保障</w:t>
      </w:r>
      <w:bookmarkEnd w:id="18"/>
    </w:p>
    <w:p>
      <w:pPr>
        <w:keepNext w:val="0"/>
        <w:keepLines w:val="0"/>
        <w:pageBreakBefore w:val="0"/>
        <w:kinsoku/>
        <w:wordWrap/>
        <w:overflowPunct/>
        <w:topLinePunct w:val="0"/>
        <w:bidi w:val="0"/>
        <w:adjustRightInd/>
        <w:snapToGrid/>
        <w:spacing w:line="440" w:lineRule="exact"/>
        <w:ind w:firstLine="480" w:firstLineChars="200"/>
        <w:textAlignment w:val="auto"/>
        <w:rPr>
          <w:sz w:val="24"/>
        </w:rPr>
      </w:pPr>
      <w:r>
        <w:rPr>
          <w:rFonts w:hint="eastAsia"/>
          <w:sz w:val="24"/>
        </w:rPr>
        <w:t>学校严格按照省教育厅、省物价局批准或备案的标准收费，由学生通过浙江政务服务网公共支付平台缴纳学费，直接进入财政，严格执行“收支两条线”管理规定。学历继续教育学费和非学历继续教育培训费除共享学校各项建设的投入外，均用于教学资源建设、教学条件改善、教师课酬、业务管理等方面的办学支出。</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rFonts w:ascii="宋体" w:hAnsi="宋体" w:cs="宋体"/>
          <w:b/>
          <w:color w:val="auto"/>
          <w:sz w:val="24"/>
        </w:rPr>
      </w:pPr>
      <w:bookmarkStart w:id="19" w:name="_Toc11014"/>
      <w:r>
        <w:rPr>
          <w:rFonts w:hint="eastAsia" w:ascii="宋体" w:hAnsi="宋体" w:cs="宋体"/>
          <w:b/>
          <w:color w:val="auto"/>
          <w:sz w:val="30"/>
          <w:szCs w:val="30"/>
        </w:rPr>
        <w:t>五、社会贡献</w:t>
      </w:r>
      <w:bookmarkEnd w:id="19"/>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rFonts w:ascii="宋体" w:hAnsi="宋体" w:cs="宋体"/>
          <w:b/>
          <w:sz w:val="24"/>
        </w:rPr>
      </w:pPr>
      <w:bookmarkStart w:id="20" w:name="_Toc630"/>
      <w:r>
        <w:rPr>
          <w:rFonts w:hint="eastAsia" w:ascii="宋体" w:hAnsi="宋体" w:cs="宋体"/>
          <w:b/>
          <w:sz w:val="24"/>
        </w:rPr>
        <w:t>（一）合作共建“特色学院”，精准服务彰显</w:t>
      </w:r>
      <w:r>
        <w:rPr>
          <w:rFonts w:hint="eastAsia" w:ascii="宋体" w:hAnsi="宋体" w:cs="宋体"/>
          <w:b/>
          <w:sz w:val="24"/>
          <w:highlight w:val="none"/>
        </w:rPr>
        <w:t>成效</w:t>
      </w:r>
    </w:p>
    <w:p>
      <w:pPr>
        <w:keepNext w:val="0"/>
        <w:keepLines w:val="0"/>
        <w:pageBreakBefore w:val="0"/>
        <w:kinsoku/>
        <w:wordWrap/>
        <w:overflowPunct/>
        <w:topLinePunct w:val="0"/>
        <w:bidi w:val="0"/>
        <w:adjustRightInd/>
        <w:snapToGrid/>
        <w:spacing w:line="440" w:lineRule="exact"/>
        <w:ind w:firstLine="480" w:firstLineChars="200"/>
        <w:textAlignment w:val="auto"/>
        <w:rPr>
          <w:sz w:val="24"/>
          <w:highlight w:val="none"/>
        </w:rPr>
      </w:pPr>
      <w:bookmarkStart w:id="21" w:name="_Toc12404"/>
      <w:r>
        <w:rPr>
          <w:rFonts w:hint="eastAsia"/>
          <w:sz w:val="24"/>
          <w:highlight w:val="none"/>
        </w:rPr>
        <w:t>学校以服务全民终身学习的学习型社会、学习型大国建设为目标，持续深化“五所学院”内涵建设。通过政校行企互联互动、扩充技能鉴定工种、设立应急管理考点等举措，开展面向5类特定人群的职业技能类和素养类提升培训项目，总结提炼典型经验、做法、亮点，打造以乡村振兴学院“头雁”领航、应急管理学院“平安”守卫、退役军人学院“红传”引领为特色的3大特色学院。</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“头雁”领航，做强乡村振兴学院</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与金华市农业农村局合作共建“乡村振兴学院”，以省级乡村产业振兴带头人“头雁”项目、省级基层农技人员知识等高端项目为切入点，以“千场带万户”为抓手引领发展，积极发挥专业技术、人才资源和产业优势，以产业推广为重点，建立了“专家—基地—示范户—辐射带动户”的技术服务网络，通过课堂、网络、现场以及菜单式选学等教学手段，围绕生猪养殖、粮油产量提升、农产品质量安全、果蔬种植技术、农民素质素养提升、农村致富带头人培养等内容，面向乡村干部、新型农业经营主体带头人、基层农技人员、农村创业青年等开展专题培训，有效助力乡村振兴战略实施，扎实推进区域乡村产业发展。开展培训项目119个，培训农民1.1万人次，咨询指导人数1.3万人次，受到参训群众的广泛好评。学院先后入选全国乡村振兴人才培养优质校、省示范性继续教育基地，农民培训经验作法《做实农民职业培训</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促进农村共同富裕》在中国教育报上发表，相关案例入选教育部乡村振兴典型帮扶案例、职业教育服务乡村振兴典型案例</w:t>
      </w:r>
      <w:r>
        <w:rPr>
          <w:rFonts w:hint="eastAsia" w:asciiTheme="minorEastAsia" w:hAnsiTheme="minorEastAsia" w:eastAsiaTheme="minorEastAsia" w:cstheme="minorEastAsia"/>
          <w:color w:val="auto"/>
          <w:sz w:val="24"/>
          <w:highlight w:val="none"/>
          <w:lang w:eastAsia="zh-CN"/>
        </w:rPr>
        <w:t>。</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sz w:val="24"/>
        </w:rPr>
      </w:pPr>
      <w:r>
        <w:rPr>
          <w:rFonts w:hint="eastAsia"/>
          <w:sz w:val="24"/>
        </w:rPr>
        <w:t>2</w:t>
      </w:r>
      <w:r>
        <w:rPr>
          <w:sz w:val="24"/>
        </w:rPr>
        <w:t>.</w:t>
      </w:r>
      <w:r>
        <w:rPr>
          <w:rFonts w:hint="eastAsia"/>
          <w:sz w:val="24"/>
        </w:rPr>
        <w:t>“平安”守卫，做大应急管理学院</w:t>
      </w:r>
    </w:p>
    <w:p>
      <w:pPr>
        <w:keepNext w:val="0"/>
        <w:keepLines w:val="0"/>
        <w:pageBreakBefore w:val="0"/>
        <w:kinsoku/>
        <w:wordWrap/>
        <w:overflowPunct/>
        <w:topLinePunct w:val="0"/>
        <w:bidi w:val="0"/>
        <w:adjustRightInd/>
        <w:snapToGrid/>
        <w:spacing w:line="440" w:lineRule="exact"/>
        <w:ind w:firstLine="480" w:firstLineChars="200"/>
        <w:textAlignment w:val="auto"/>
        <w:rPr>
          <w:sz w:val="24"/>
          <w:highlight w:val="none"/>
        </w:rPr>
      </w:pPr>
      <w:r>
        <w:rPr>
          <w:rFonts w:hint="eastAsia"/>
          <w:sz w:val="24"/>
          <w:highlight w:val="none"/>
        </w:rPr>
        <w:t>与金华市应急管理局合作共建“应急管理学院”，精准聚焦应急管理人才培养短板，积极探索以“政产学研用”和产教融合为核心的创新培养模式，打造地方性应急管理人才培养基地。成立金华市应急管理特有工种培训点，培养专任教师成为特有工种培训师资和考评员，提升培训师资的数量与质量，并通过教、研、练等培训形式，全方位提高学员培训成效。政校共建金华市安全生产考试中心，推动安全生产考试工作做深做细，成为金华市工种最全、设备最智能的市级考点。考试点落实从严治考、规范管理和高效服务，承担国家级考试54场，服务考生7000名。积极对接相关企业，完成企业一线人员取证培训33期共计3842人次，合格率保持90%以上，为地方培养大批合格应急管理类人才，考证通过率位列全省前茅。持续扩大行业影响力，承接系列省份应急管理考点建设交流座谈会和培训机构交流会，得到省厅的充分肯定和认可。</w:t>
      </w:r>
    </w:p>
    <w:p>
      <w:pPr>
        <w:keepNext w:val="0"/>
        <w:keepLines w:val="0"/>
        <w:pageBreakBefore w:val="0"/>
        <w:kinsoku/>
        <w:wordWrap/>
        <w:overflowPunct/>
        <w:topLinePunct w:val="0"/>
        <w:autoSpaceDE w:val="0"/>
        <w:autoSpaceDN w:val="0"/>
        <w:bidi w:val="0"/>
        <w:adjustRightInd/>
        <w:snapToGrid/>
        <w:spacing w:line="440" w:lineRule="exact"/>
        <w:ind w:firstLine="480" w:firstLineChars="200"/>
        <w:textAlignment w:val="auto"/>
        <w:rPr>
          <w:sz w:val="24"/>
        </w:rPr>
      </w:pPr>
      <w:r>
        <w:rPr>
          <w:rFonts w:hint="eastAsia"/>
          <w:sz w:val="24"/>
        </w:rPr>
        <w:t>3</w:t>
      </w:r>
      <w:r>
        <w:rPr>
          <w:sz w:val="24"/>
        </w:rPr>
        <w:t>.</w:t>
      </w:r>
      <w:r>
        <w:rPr>
          <w:rFonts w:hint="eastAsia"/>
          <w:sz w:val="24"/>
        </w:rPr>
        <w:t xml:space="preserve"> “红传”引领，做精退役军人学院</w:t>
      </w:r>
    </w:p>
    <w:p>
      <w:pPr>
        <w:keepNext w:val="0"/>
        <w:keepLines w:val="0"/>
        <w:pageBreakBefore w:val="0"/>
        <w:kinsoku/>
        <w:wordWrap/>
        <w:overflowPunct/>
        <w:topLinePunct w:val="0"/>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金华市退役军人事务局合作共建“退役军人学院”，按照“优势互补、共谋发展、互惠互利、实现共赢”的原则，围绕“五化”即一体化开展学院制度设计、精准化构建培训课程体系、数字化开发课程资源平台、全程化推进职业生涯发展、特色化打造志愿服务品牌的工作模式，统筹校内外多方资源，深化政校合作，逐步构建适应性培训、技能培训、学历教育、终身职业教育四位一体的退役军人职业发展体系。学校组织开展转业军官岗前培训、职业技能培训、退役军人服务保障能力提升、返乡退役士兵适应性培训、东西协作退役军人事务系统干部履职能力提升培训等主题班次20余期；同时不断创新举措，组织开展跨区域职业技能培训项目，成功破解金华市退役士兵职业技能培训区域限制，为退役军人就业创业工作趟出一条新路。成功入选省首批退役军人就业创业基地，“红传志愿服务项目”获得省首届退役军人志愿服务大赛金奖，并入选2023年退役军人事务部退役军人关爱青少年志愿服务项目。</w:t>
      </w:r>
      <w:bookmarkEnd w:id="21"/>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rFonts w:ascii="宋体" w:hAnsi="宋体" w:cs="宋体"/>
          <w:b/>
          <w:sz w:val="24"/>
        </w:rPr>
      </w:pPr>
      <w:r>
        <w:rPr>
          <w:rFonts w:hint="eastAsia" w:ascii="宋体" w:hAnsi="宋体" w:cs="宋体"/>
          <w:b/>
          <w:sz w:val="24"/>
          <w:lang w:eastAsia="zh-CN"/>
        </w:rPr>
        <w:t>（</w:t>
      </w:r>
      <w:r>
        <w:rPr>
          <w:rFonts w:hint="eastAsia" w:ascii="宋体" w:hAnsi="宋体" w:cs="宋体"/>
          <w:b/>
          <w:sz w:val="24"/>
        </w:rPr>
        <w:t>二</w:t>
      </w:r>
      <w:r>
        <w:rPr>
          <w:rFonts w:hint="eastAsia" w:ascii="宋体" w:hAnsi="宋体" w:cs="宋体"/>
          <w:b/>
          <w:sz w:val="24"/>
          <w:lang w:eastAsia="zh-CN"/>
        </w:rPr>
        <w:t>）</w:t>
      </w:r>
      <w:r>
        <w:rPr>
          <w:rFonts w:hint="eastAsia" w:ascii="宋体" w:hAnsi="宋体" w:cs="宋体"/>
          <w:b/>
          <w:sz w:val="24"/>
        </w:rPr>
        <w:t>积极践行服务理念，</w:t>
      </w:r>
      <w:r>
        <w:rPr>
          <w:rFonts w:ascii="宋体" w:hAnsi="宋体" w:cs="宋体"/>
          <w:b/>
          <w:sz w:val="24"/>
        </w:rPr>
        <w:t>“书香金华”</w:t>
      </w:r>
      <w:r>
        <w:rPr>
          <w:rFonts w:hint="eastAsia" w:ascii="宋体" w:hAnsi="宋体" w:cs="宋体"/>
          <w:b/>
          <w:sz w:val="24"/>
        </w:rPr>
        <w:t>悦读满城</w:t>
      </w:r>
      <w:r>
        <w:rPr>
          <w:rFonts w:hint="eastAsia" w:ascii="微软雅黑" w:hAnsi="微软雅黑" w:eastAsia="微软雅黑"/>
          <w:b/>
          <w:bCs/>
          <w:color w:val="000000"/>
          <w:sz w:val="54"/>
          <w:szCs w:val="54"/>
          <w:shd w:val="clear" w:color="auto" w:fill="FFFFFF"/>
        </w:rPr>
        <w:t> </w:t>
      </w:r>
    </w:p>
    <w:p>
      <w:pPr>
        <w:keepNext w:val="0"/>
        <w:keepLines w:val="0"/>
        <w:pageBreakBefore w:val="0"/>
        <w:kinsoku/>
        <w:wordWrap/>
        <w:overflowPunct/>
        <w:topLinePunct w:val="0"/>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积极践行学校为地方文化经济建设服务的办学宗旨，秉承“读者至上，服务社会”的理念，开放图书馆现有的200余万册馆藏纸质图书，100多万册电子图书等资源。与金华市图书馆、武义县图书馆开展业务学习交流和阅读推广活动，助推馆际合作和校地党建共同体建设。常年接待校企合作单位、教学基地及社会读者借阅，助力校企产教融合和高职人才培养，为行业、区域经济社会发展服务。积极参与全民阅读和地方文化的宣传推广，组织学生开展“阅读+游学”读书行动，助推“书香金华”建设。</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rFonts w:ascii="宋体" w:hAnsi="宋体" w:cs="宋体"/>
          <w:b/>
          <w:sz w:val="24"/>
        </w:rPr>
      </w:pPr>
      <w:r>
        <w:rPr>
          <w:rFonts w:hint="eastAsia" w:ascii="宋体" w:hAnsi="宋体" w:cs="宋体"/>
          <w:b/>
          <w:sz w:val="24"/>
          <w:lang w:eastAsia="zh-CN"/>
        </w:rPr>
        <w:t>（</w:t>
      </w:r>
      <w:r>
        <w:rPr>
          <w:rFonts w:hint="eastAsia" w:ascii="宋体" w:hAnsi="宋体" w:cs="宋体"/>
          <w:b/>
          <w:sz w:val="24"/>
        </w:rPr>
        <w:t>三</w:t>
      </w:r>
      <w:r>
        <w:rPr>
          <w:rFonts w:hint="eastAsia" w:ascii="宋体" w:hAnsi="宋体" w:cs="宋体"/>
          <w:b/>
          <w:sz w:val="24"/>
          <w:lang w:eastAsia="zh-CN"/>
        </w:rPr>
        <w:t>）</w:t>
      </w:r>
      <w:r>
        <w:rPr>
          <w:rFonts w:ascii="宋体" w:hAnsi="宋体" w:cs="宋体"/>
          <w:b/>
          <w:sz w:val="24"/>
        </w:rPr>
        <w:t>深度参与东西协作，对口帮扶</w:t>
      </w:r>
      <w:r>
        <w:rPr>
          <w:rFonts w:hint="eastAsia" w:ascii="宋体" w:hAnsi="宋体" w:cs="宋体"/>
          <w:b/>
          <w:sz w:val="24"/>
        </w:rPr>
        <w:t>提</w:t>
      </w:r>
      <w:r>
        <w:rPr>
          <w:rFonts w:ascii="宋体" w:hAnsi="宋体" w:cs="宋体"/>
          <w:b/>
          <w:sz w:val="24"/>
        </w:rPr>
        <w:t>质</w:t>
      </w:r>
      <w:r>
        <w:rPr>
          <w:rFonts w:hint="eastAsia" w:ascii="宋体" w:hAnsi="宋体" w:cs="宋体"/>
          <w:b/>
          <w:sz w:val="24"/>
        </w:rPr>
        <w:t>扩面</w:t>
      </w:r>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rFonts w:hint="eastAsia"/>
          <w:bCs/>
          <w:color w:val="auto"/>
          <w:sz w:val="24"/>
          <w:highlight w:val="none"/>
        </w:rPr>
      </w:pPr>
      <w:r>
        <w:rPr>
          <w:rFonts w:hint="eastAsia"/>
          <w:bCs/>
          <w:color w:val="auto"/>
          <w:sz w:val="24"/>
          <w:highlight w:val="none"/>
        </w:rPr>
        <w:t>1.</w:t>
      </w:r>
      <w:r>
        <w:rPr>
          <w:rFonts w:hint="eastAsia"/>
          <w:bCs/>
          <w:color w:val="auto"/>
          <w:sz w:val="24"/>
          <w:highlight w:val="none"/>
          <w:lang w:val="en-US" w:eastAsia="zh-CN"/>
        </w:rPr>
        <w:t xml:space="preserve"> </w:t>
      </w:r>
      <w:r>
        <w:rPr>
          <w:rFonts w:hint="eastAsia"/>
          <w:bCs/>
          <w:color w:val="auto"/>
          <w:sz w:val="24"/>
          <w:highlight w:val="none"/>
        </w:rPr>
        <w:t>加强校际合作，扩大职教资源共享</w:t>
      </w:r>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rFonts w:hint="eastAsia"/>
          <w:bCs/>
          <w:color w:val="auto"/>
          <w:sz w:val="24"/>
          <w:highlight w:val="none"/>
        </w:rPr>
      </w:pPr>
      <w:r>
        <w:rPr>
          <w:rFonts w:hint="eastAsia"/>
          <w:bCs/>
          <w:color w:val="auto"/>
          <w:sz w:val="24"/>
          <w:highlight w:val="none"/>
        </w:rPr>
        <w:t>学校充分发挥国家双高院校优势，与新疆师范高等专科学校、甘孜藏族自治州职业技术学校等17家单位开展对口帮扶合作，在师资队伍建设、专业建设、课程建设、实训基地建设、教科研项目等方面开展帮扶。与温宿县文旅局签订校地战略合作协议，服务温宿景区硬件“微改造”、软件“精提升”；同时继续与西昌民族幼儿师范高等专科学校、阿克苏教育学院开展对口帮扶。</w:t>
      </w:r>
      <w:r>
        <w:rPr>
          <w:rFonts w:hint="eastAsia"/>
          <w:bCs/>
          <w:color w:val="auto"/>
          <w:sz w:val="24"/>
          <w:highlight w:val="none"/>
        </w:rPr>
        <w:cr/>
      </w:r>
      <w:r>
        <w:rPr>
          <w:bCs/>
          <w:color w:val="auto"/>
          <w:sz w:val="24"/>
          <w:highlight w:val="none"/>
        </w:rPr>
        <w:t xml:space="preserve">    </w:t>
      </w:r>
      <w:r>
        <w:rPr>
          <w:rFonts w:hint="eastAsia"/>
          <w:bCs/>
          <w:color w:val="auto"/>
          <w:sz w:val="24"/>
          <w:highlight w:val="none"/>
        </w:rPr>
        <w:t>2.</w:t>
      </w:r>
      <w:r>
        <w:rPr>
          <w:rFonts w:hint="eastAsia"/>
          <w:bCs/>
          <w:color w:val="auto"/>
          <w:sz w:val="24"/>
          <w:highlight w:val="none"/>
          <w:lang w:val="en-US" w:eastAsia="zh-CN"/>
        </w:rPr>
        <w:t xml:space="preserve"> </w:t>
      </w:r>
      <w:r>
        <w:rPr>
          <w:rFonts w:hint="eastAsia"/>
          <w:bCs/>
          <w:color w:val="auto"/>
          <w:sz w:val="24"/>
          <w:highlight w:val="none"/>
        </w:rPr>
        <w:t>精准对接需求，带动院校创新发展</w:t>
      </w:r>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rFonts w:hint="eastAsia"/>
          <w:bCs/>
          <w:color w:val="auto"/>
          <w:sz w:val="24"/>
          <w:highlight w:val="none"/>
        </w:rPr>
      </w:pPr>
      <w:r>
        <w:rPr>
          <w:rFonts w:hint="eastAsia"/>
          <w:bCs/>
          <w:color w:val="auto"/>
          <w:sz w:val="24"/>
          <w:highlight w:val="none"/>
        </w:rPr>
        <w:t>关注中西部地区职业教育需求，倾斜招生计划，做好招生宣传，共招收中西部地区学生365人；开发“菜单式”“定制式”“标准模块式”等灵活多样的培训模式，全年为全国47所中西部院校开展师资培训项目55，培训2203人次，通过跟踪回访，受访教师的满意度达98%以上；辅导全国中西部20余所院校完成学前教育专业认证，带动西部职业院校学前教育专业高质量发展。</w:t>
      </w:r>
      <w:r>
        <w:rPr>
          <w:rFonts w:hint="eastAsia"/>
          <w:bCs/>
          <w:color w:val="auto"/>
          <w:sz w:val="24"/>
          <w:highlight w:val="none"/>
        </w:rPr>
        <w:cr/>
      </w:r>
      <w:r>
        <w:rPr>
          <w:bCs/>
          <w:color w:val="auto"/>
          <w:sz w:val="24"/>
          <w:highlight w:val="none"/>
        </w:rPr>
        <w:t xml:space="preserve">    </w:t>
      </w:r>
      <w:r>
        <w:rPr>
          <w:rFonts w:hint="eastAsia"/>
          <w:bCs/>
          <w:color w:val="auto"/>
          <w:sz w:val="24"/>
          <w:highlight w:val="none"/>
        </w:rPr>
        <w:t>3.</w:t>
      </w:r>
      <w:r>
        <w:rPr>
          <w:rFonts w:hint="eastAsia"/>
          <w:bCs/>
          <w:color w:val="auto"/>
          <w:sz w:val="24"/>
          <w:highlight w:val="none"/>
          <w:lang w:val="en-US" w:eastAsia="zh-CN"/>
        </w:rPr>
        <w:t xml:space="preserve"> </w:t>
      </w:r>
      <w:r>
        <w:rPr>
          <w:rFonts w:hint="eastAsia"/>
          <w:bCs/>
          <w:color w:val="auto"/>
          <w:sz w:val="24"/>
          <w:highlight w:val="none"/>
        </w:rPr>
        <w:t>强化师生交流，提升对口帮扶质效</w:t>
      </w:r>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rFonts w:hint="eastAsia"/>
          <w:bCs/>
          <w:color w:val="auto"/>
          <w:sz w:val="24"/>
          <w:highlight w:val="none"/>
        </w:rPr>
      </w:pPr>
      <w:r>
        <w:rPr>
          <w:rFonts w:hint="eastAsia"/>
          <w:bCs/>
          <w:color w:val="auto"/>
          <w:sz w:val="24"/>
          <w:highlight w:val="none"/>
        </w:rPr>
        <w:t>继续实施“中西部学子成才工程”，完成中西部优秀学生专项奖学金评审表彰，发放金额15万元；指导10所中西部院校职业技能竞赛32项，省级以上获奖16项，专业课程建设10门，干部教师交流45人，学生交流35人，选派援疆教师1人，协助阿克苏教育学院进行改制转设和综合改革工作，提升中西合作帮扶的质量和效益。</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r>
        <w:rPr>
          <w:rFonts w:hint="eastAsia"/>
          <w:b/>
          <w:color w:val="auto"/>
          <w:sz w:val="30"/>
          <w:szCs w:val="30"/>
        </w:rPr>
        <w:t>六、特色创新</w:t>
      </w:r>
      <w:bookmarkEnd w:id="20"/>
    </w:p>
    <w:p>
      <w:pPr>
        <w:pStyle w:val="2"/>
        <w:keepNext w:val="0"/>
        <w:keepLines w:val="0"/>
        <w:pageBreakBefore w:val="0"/>
        <w:kinsoku/>
        <w:wordWrap/>
        <w:overflowPunct/>
        <w:topLinePunct w:val="0"/>
        <w:bidi w:val="0"/>
        <w:adjustRightInd/>
        <w:snapToGrid/>
        <w:spacing w:after="0" w:line="440" w:lineRule="exact"/>
        <w:ind w:left="482" w:leftChars="0" w:firstLine="0" w:firstLineChars="0"/>
        <w:textAlignment w:val="auto"/>
        <w:rPr>
          <w:b/>
          <w:color w:val="auto"/>
          <w:sz w:val="24"/>
          <w:highlight w:val="none"/>
        </w:rPr>
      </w:pPr>
      <w:bookmarkStart w:id="22" w:name="_Toc21261"/>
      <w:bookmarkStart w:id="23" w:name="_Toc19957"/>
      <w:r>
        <w:rPr>
          <w:rFonts w:hint="eastAsia"/>
          <w:b/>
          <w:color w:val="auto"/>
          <w:sz w:val="24"/>
          <w:highlight w:val="none"/>
        </w:rPr>
        <w:t>（一）</w:t>
      </w:r>
      <w:bookmarkEnd w:id="22"/>
      <w:r>
        <w:rPr>
          <w:b/>
          <w:color w:val="auto"/>
          <w:sz w:val="24"/>
          <w:highlight w:val="none"/>
        </w:rPr>
        <w:t>校地融合协同共生</w:t>
      </w:r>
      <w:r>
        <w:rPr>
          <w:rFonts w:hint="eastAsia"/>
          <w:b/>
          <w:color w:val="auto"/>
          <w:sz w:val="24"/>
          <w:highlight w:val="none"/>
        </w:rPr>
        <w:t>，下沉办学辐射周边</w:t>
      </w:r>
    </w:p>
    <w:p>
      <w:pPr>
        <w:pStyle w:val="2"/>
        <w:keepNext w:val="0"/>
        <w:keepLines w:val="0"/>
        <w:pageBreakBefore w:val="0"/>
        <w:kinsoku/>
        <w:wordWrap/>
        <w:overflowPunct/>
        <w:topLinePunct w:val="0"/>
        <w:bidi w:val="0"/>
        <w:adjustRightInd/>
        <w:snapToGrid/>
        <w:spacing w:after="0" w:line="440" w:lineRule="exact"/>
        <w:ind w:left="0" w:leftChars="0" w:firstLine="480"/>
        <w:textAlignment w:val="auto"/>
        <w:rPr>
          <w:b/>
          <w:color w:val="auto"/>
          <w:sz w:val="24"/>
          <w:highlight w:val="none"/>
        </w:rPr>
      </w:pPr>
      <w:r>
        <w:rPr>
          <w:rFonts w:hint="eastAsia"/>
          <w:bCs/>
          <w:color w:val="auto"/>
          <w:sz w:val="24"/>
          <w:highlight w:val="none"/>
        </w:rPr>
        <w:t>学校以中高职一体化发展为主线，主动下沉县域，构建“主校区+N个分校区”区域融合办学新生态，打造高职院校开放治理新格局。一是打造市域产教联合体，提升开放治理协同力。与金华经济开发区、金义都市新区等紧密协同，联合区域数十家企业、中高职院校、科研机构和行业协会联合成立“金义都市区产教联合体”。二是新建县域分校区，提升开放治理发展力。实施面向山区县的“共同富裕+”职业教育专项行动，与武义县共建“武义学院”，探索“分校区”模式。三是共建县域产业学院，提升开放治理聚合力。围绕永武缙五金产业“全国百佳产业集群”，学校发挥机械制造与自动化国家高水平专业群办学优势，与永康职业技术学校联合开展区域中高职一体化人才培养省级试点改革，共建“浙中五金智能制造产业学院”，为五金产业智能化、数字化升级提供人才支持和智力支撑。</w:t>
      </w:r>
      <w:r>
        <w:rPr>
          <w:rFonts w:hint="eastAsia"/>
          <w:bCs/>
          <w:color w:val="auto"/>
          <w:sz w:val="24"/>
          <w:highlight w:val="none"/>
        </w:rPr>
        <w:cr/>
      </w:r>
      <w:r>
        <w:rPr>
          <w:bCs/>
          <w:color w:val="auto"/>
          <w:sz w:val="24"/>
          <w:highlight w:val="none"/>
        </w:rPr>
        <w:t xml:space="preserve">    </w:t>
      </w:r>
      <w:r>
        <w:rPr>
          <w:rFonts w:hint="eastAsia"/>
          <w:b/>
          <w:color w:val="auto"/>
          <w:sz w:val="24"/>
          <w:highlight w:val="none"/>
        </w:rPr>
        <w:t>（二）品牌引领保障质量，“金职”师训走向全国</w:t>
      </w:r>
    </w:p>
    <w:p>
      <w:pPr>
        <w:pStyle w:val="2"/>
        <w:keepNext w:val="0"/>
        <w:keepLines w:val="0"/>
        <w:pageBreakBefore w:val="0"/>
        <w:kinsoku/>
        <w:wordWrap/>
        <w:overflowPunct/>
        <w:topLinePunct w:val="0"/>
        <w:bidi w:val="0"/>
        <w:adjustRightInd/>
        <w:snapToGrid/>
        <w:spacing w:after="0" w:line="440" w:lineRule="exact"/>
        <w:ind w:left="0" w:leftChars="0" w:firstLine="480"/>
        <w:textAlignment w:val="auto"/>
        <w:rPr>
          <w:bCs/>
          <w:color w:val="auto"/>
          <w:sz w:val="24"/>
          <w:highlight w:val="none"/>
        </w:rPr>
      </w:pPr>
      <w:bookmarkStart w:id="24" w:name="_Toc6015"/>
      <w:r>
        <w:rPr>
          <w:rFonts w:hint="eastAsia"/>
          <w:bCs/>
          <w:color w:val="auto"/>
          <w:sz w:val="24"/>
          <w:highlight w:val="none"/>
        </w:rPr>
        <w:t>借助“双高”A档学校影响力，整合全校优质资源，系统提炼学校在各方面的成功办学经验，开发“双高”建设实践探索分享式培训菜单，制成精美宣传单，通过各类会议、来访交流、主动对接等各种方式向全国职业院校宣传推广“金职”办学经验，面向职业院校干部、专业带头人、骨干教师等开展学校治理、教学能力提升、技能竞赛等师训项目148项，培训教师7300人次，项目覆盖全国29个省市，极大提升了学校在全国职教领域的影响力。收集各省市国培项目招标信息，统筹协调，主动出击，组织二级学院申报贵州省、江西省等省市职业院校教师素质提高计划招标项目，中标项目12个，中标金额1100余万元。其中，贵州省招标项目中标数、中标金额均列全国第一，实现了省外公开招标师训项目中标的历史性突破，形成“职教国培-省国培-省培-职业院校”4个层级师训项目的完整闭环。学校成功获批国家级“双师型”教师培训基地、“职教国培”示范项目承担基地、国家级职业学校校长培训基地、新时代职业学校名师（名匠）名校长培养计划培养对象和培养基地，《“多元化一体式”职业院校专业领军教师培训模式探索与创新》案例成功入选教育部职教国培案例。</w:t>
      </w:r>
    </w:p>
    <w:bookmarkEnd w:id="24"/>
    <w:p>
      <w:pPr>
        <w:keepNext w:val="0"/>
        <w:keepLines w:val="0"/>
        <w:pageBreakBefore w:val="0"/>
        <w:kinsoku/>
        <w:wordWrap/>
        <w:overflowPunct/>
        <w:topLinePunct w:val="0"/>
        <w:bidi w:val="0"/>
        <w:adjustRightInd/>
        <w:snapToGrid/>
        <w:spacing w:line="440" w:lineRule="exact"/>
        <w:ind w:firstLine="482" w:firstLineChars="200"/>
        <w:textAlignment w:val="auto"/>
        <w:outlineLvl w:val="0"/>
        <w:rPr>
          <w:b/>
          <w:color w:val="auto"/>
          <w:sz w:val="24"/>
          <w:highlight w:val="none"/>
        </w:rPr>
      </w:pPr>
      <w:r>
        <w:rPr>
          <w:rFonts w:hint="eastAsia"/>
          <w:b/>
          <w:color w:val="auto"/>
          <w:sz w:val="24"/>
          <w:highlight w:val="none"/>
        </w:rPr>
        <w:t>（三）</w:t>
      </w:r>
      <w:r>
        <w:rPr>
          <w:b/>
          <w:color w:val="auto"/>
          <w:sz w:val="24"/>
          <w:highlight w:val="none"/>
        </w:rPr>
        <w:t>多元育训建设平台，职教标准</w:t>
      </w:r>
      <w:r>
        <w:rPr>
          <w:rFonts w:hint="eastAsia"/>
          <w:b/>
          <w:color w:val="auto"/>
          <w:sz w:val="24"/>
          <w:highlight w:val="none"/>
        </w:rPr>
        <w:t>迈向世界</w:t>
      </w:r>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bCs/>
          <w:color w:val="auto"/>
          <w:sz w:val="24"/>
          <w:highlight w:val="none"/>
        </w:rPr>
      </w:pPr>
      <w:r>
        <w:rPr>
          <w:bCs/>
          <w:color w:val="auto"/>
          <w:sz w:val="24"/>
          <w:highlight w:val="none"/>
        </w:rPr>
        <w:t>以提升中国职教世界地位为目标，开发多类型国际职教标准，推动职教标准“走出去”。有序建设“1+4”“云地两栖”实训中心与教学资源库、“3标准+3维度”职业中文教学资源库，统筹推进远程实境实验平台与虚拟仿真实训中心及20项配套标准与课程及资源建设，建设标准国际化资源5项。依托浙江省标准国际化培育基地建设，开展中文+python、中国剪纸、PLC、ICT 、美国心脏协会（AHA）基础生命支持（BLS）培训等标准与技能培训30余期，累计培训境外人员6000余人次•日、卢方师资20余人次，服务“走出去”企业2117人次。获批“未来非洲-中非职教合作特色项目”入围项目，浙江省第一批“小而美”境外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0"/>
        <w:rPr>
          <w:b/>
          <w:color w:val="auto"/>
          <w:sz w:val="24"/>
        </w:rPr>
      </w:pPr>
      <w:r>
        <w:rPr>
          <w:rFonts w:hint="eastAsia"/>
          <w:b/>
          <w:color w:val="auto"/>
          <w:sz w:val="24"/>
        </w:rPr>
        <w:t>（</w:t>
      </w:r>
      <w:r>
        <w:rPr>
          <w:rFonts w:hint="eastAsia"/>
          <w:b/>
          <w:color w:val="auto"/>
          <w:sz w:val="24"/>
          <w:lang w:val="en-US" w:eastAsia="zh-CN"/>
        </w:rPr>
        <w:t>四</w:t>
      </w:r>
      <w:r>
        <w:rPr>
          <w:rFonts w:hint="eastAsia"/>
          <w:b/>
          <w:color w:val="auto"/>
          <w:sz w:val="24"/>
        </w:rPr>
        <w:t>）</w:t>
      </w:r>
      <w:bookmarkEnd w:id="23"/>
      <w:r>
        <w:rPr>
          <w:rFonts w:hint="eastAsia"/>
          <w:b/>
          <w:color w:val="auto"/>
          <w:sz w:val="24"/>
        </w:rPr>
        <w:t>开展继续教育研究，积极推广示范经验</w:t>
      </w:r>
    </w:p>
    <w:p>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ascii="宋体" w:hAnsi="宋体" w:cs="宋体"/>
          <w:color w:val="FF0000"/>
          <w:sz w:val="24"/>
        </w:rPr>
      </w:pPr>
      <w:r>
        <w:rPr>
          <w:rFonts w:hint="eastAsia" w:ascii="宋体" w:hAnsi="宋体" w:cs="宋体"/>
          <w:color w:val="auto"/>
          <w:sz w:val="24"/>
        </w:rPr>
        <w:t>学校鼓励教职工</w:t>
      </w:r>
      <w:r>
        <w:rPr>
          <w:rFonts w:hint="eastAsia" w:ascii="宋体" w:hAnsi="宋体" w:cs="宋体"/>
          <w:color w:val="auto"/>
          <w:sz w:val="24"/>
          <w:lang w:val="en-US" w:eastAsia="zh-CN"/>
        </w:rPr>
        <w:t>不断开展研究</w:t>
      </w:r>
      <w:r>
        <w:rPr>
          <w:rFonts w:hint="eastAsia" w:ascii="宋体" w:hAnsi="宋体" w:cs="宋体"/>
          <w:color w:val="auto"/>
          <w:sz w:val="24"/>
        </w:rPr>
        <w:t>，</w:t>
      </w:r>
      <w:r>
        <w:rPr>
          <w:rFonts w:hint="eastAsia" w:ascii="宋体" w:hAnsi="宋体" w:cs="宋体"/>
          <w:color w:val="auto"/>
          <w:sz w:val="24"/>
          <w:lang w:val="en-US" w:eastAsia="zh-CN"/>
        </w:rPr>
        <w:t>积极推广继续教育示范经验</w:t>
      </w:r>
      <w:r>
        <w:rPr>
          <w:rFonts w:hint="eastAsia" w:ascii="宋体" w:hAnsi="宋体" w:cs="宋体"/>
          <w:color w:val="auto"/>
          <w:sz w:val="24"/>
        </w:rPr>
        <w:t>。</w:t>
      </w:r>
      <w:r>
        <w:rPr>
          <w:rFonts w:hint="eastAsia" w:ascii="宋体" w:hAnsi="宋体" w:cs="宋体"/>
          <w:color w:val="auto"/>
          <w:sz w:val="24"/>
          <w:lang w:val="en-US" w:eastAsia="zh-CN"/>
        </w:rPr>
        <w:t>其中</w:t>
      </w:r>
      <w:r>
        <w:rPr>
          <w:rFonts w:hint="eastAsia" w:asciiTheme="minorEastAsia" w:hAnsiTheme="minorEastAsia" w:eastAsiaTheme="minorEastAsia" w:cstheme="minorEastAsia"/>
          <w:color w:val="auto"/>
          <w:sz w:val="24"/>
          <w:highlight w:val="none"/>
        </w:rPr>
        <w:t>农民培训经验作法《做实农民职业培训</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促进农村共同富裕》在中国教育报上发表</w:t>
      </w:r>
      <w:r>
        <w:rPr>
          <w:rFonts w:hint="eastAsia" w:ascii="宋体" w:hAnsi="宋体" w:cs="宋体"/>
          <w:color w:val="auto"/>
          <w:sz w:val="24"/>
          <w:lang w:val="en-US" w:eastAsia="zh-CN"/>
        </w:rPr>
        <w:t>；</w:t>
      </w:r>
      <w:r>
        <w:rPr>
          <w:rFonts w:hint="eastAsia"/>
          <w:bCs/>
          <w:color w:val="auto"/>
          <w:sz w:val="24"/>
          <w:highlight w:val="none"/>
        </w:rPr>
        <w:t>《“多元化一体式”职业院校专业领军教师培训模式探索与创新》案例成功入选教育部职教国培案例</w:t>
      </w:r>
      <w:r>
        <w:rPr>
          <w:rFonts w:hint="eastAsia" w:ascii="宋体" w:hAnsi="宋体" w:cs="宋体"/>
          <w:color w:val="auto"/>
          <w:sz w:val="24"/>
        </w:rPr>
        <w:t>；</w:t>
      </w:r>
      <w:r>
        <w:rPr>
          <w:rFonts w:hint="eastAsia" w:ascii="宋体" w:hAnsi="宋体" w:cs="宋体"/>
          <w:color w:val="auto"/>
          <w:sz w:val="24"/>
          <w:lang w:eastAsia="zh-CN"/>
        </w:rPr>
        <w:t>《</w:t>
      </w:r>
      <w:r>
        <w:rPr>
          <w:rFonts w:hint="eastAsia" w:asciiTheme="minorEastAsia" w:hAnsiTheme="minorEastAsia" w:eastAsiaTheme="minorEastAsia" w:cstheme="minorEastAsia"/>
          <w:color w:val="auto"/>
          <w:sz w:val="24"/>
          <w:szCs w:val="24"/>
          <w:shd w:val="clear" w:color="auto" w:fill="FFFFFF"/>
        </w:rPr>
        <w:t>基于“四融合”的高职学前教育专业学历继续教育教学改革创新</w:t>
      </w:r>
      <w:r>
        <w:rPr>
          <w:rFonts w:hint="eastAsia" w:asciiTheme="minorEastAsia" w:hAnsiTheme="minorEastAsia" w:eastAsiaTheme="minorEastAsia" w:cstheme="minorEastAsia"/>
          <w:color w:val="auto"/>
          <w:sz w:val="24"/>
          <w:szCs w:val="24"/>
        </w:rPr>
        <w:t>》入选</w:t>
      </w:r>
      <w:r>
        <w:rPr>
          <w:rFonts w:hint="eastAsia" w:asciiTheme="minorEastAsia" w:hAnsiTheme="minorEastAsia" w:eastAsiaTheme="minorEastAsia" w:cstheme="minorEastAsia"/>
          <w:color w:val="auto"/>
          <w:sz w:val="24"/>
          <w:szCs w:val="24"/>
          <w:lang w:val="en-US" w:eastAsia="zh-CN"/>
        </w:rPr>
        <w:t>教育部学习型社会建设重点任务之</w:t>
      </w:r>
      <w:r>
        <w:rPr>
          <w:rFonts w:hint="eastAsia" w:asciiTheme="minorEastAsia" w:hAnsiTheme="minorEastAsia" w:eastAsiaTheme="minorEastAsia" w:cstheme="minorEastAsia"/>
          <w:color w:val="auto"/>
          <w:sz w:val="24"/>
          <w:szCs w:val="24"/>
          <w:shd w:val="clear" w:color="auto" w:fill="FFFFFF"/>
        </w:rPr>
        <w:t>学历继续教育教学改革创新任务</w:t>
      </w:r>
      <w:r>
        <w:rPr>
          <w:rFonts w:hint="eastAsia" w:asciiTheme="minorEastAsia" w:hAnsiTheme="minorEastAsia" w:eastAsiaTheme="minorEastAsia" w:cstheme="minorEastAsia"/>
          <w:color w:val="auto"/>
          <w:sz w:val="24"/>
          <w:szCs w:val="24"/>
          <w:shd w:val="clear" w:color="auto" w:fill="FFFFFF"/>
          <w:lang w:eastAsia="zh-CN"/>
        </w:rPr>
        <w:t>；《现代教育技术》《网络营销》《工程项目管理》</w:t>
      </w:r>
      <w:r>
        <w:rPr>
          <w:rFonts w:hint="eastAsia" w:asciiTheme="minorEastAsia" w:hAnsiTheme="minorEastAsia" w:eastAsiaTheme="minorEastAsia" w:cstheme="minorEastAsia"/>
          <w:color w:val="auto"/>
          <w:sz w:val="24"/>
          <w:szCs w:val="24"/>
          <w:shd w:val="clear" w:color="auto" w:fill="FFFFFF"/>
          <w:lang w:val="en-US" w:eastAsia="zh-CN"/>
        </w:rPr>
        <w:t>三门课程获省高等学历继续教育精品在线开放课程立项建设</w:t>
      </w:r>
      <w:r>
        <w:rPr>
          <w:rFonts w:hint="eastAsia" w:ascii="宋体" w:hAnsi="宋体" w:cs="宋体"/>
          <w:color w:val="auto"/>
          <w:sz w:val="24"/>
        </w:rPr>
        <w:t>。</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bookmarkStart w:id="25" w:name="_Toc27617"/>
      <w:r>
        <w:rPr>
          <w:rFonts w:hint="eastAsia"/>
          <w:b/>
          <w:color w:val="auto"/>
          <w:sz w:val="30"/>
          <w:szCs w:val="30"/>
        </w:rPr>
        <w:t>七、问题挑战</w:t>
      </w:r>
      <w:bookmarkEnd w:id="25"/>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26" w:name="_Toc10277"/>
      <w:r>
        <w:rPr>
          <w:rFonts w:hint="eastAsia"/>
          <w:b/>
          <w:color w:val="auto"/>
          <w:sz w:val="24"/>
        </w:rPr>
        <w:t>（一）面对的新挑战、新需求</w:t>
      </w:r>
      <w:bookmarkEnd w:id="26"/>
    </w:p>
    <w:p>
      <w:pPr>
        <w:keepNext w:val="0"/>
        <w:keepLines w:val="0"/>
        <w:pageBreakBefore w:val="0"/>
        <w:kinsoku/>
        <w:wordWrap/>
        <w:overflowPunct/>
        <w:topLinePunct w:val="0"/>
        <w:bidi w:val="0"/>
        <w:adjustRightInd/>
        <w:snapToGrid/>
        <w:spacing w:line="440" w:lineRule="exact"/>
        <w:ind w:firstLine="480" w:firstLineChars="200"/>
        <w:textAlignment w:val="auto"/>
        <w:rPr>
          <w:rFonts w:hint="default" w:eastAsia="宋体"/>
          <w:color w:val="auto"/>
          <w:sz w:val="24"/>
          <w:lang w:val="en-US" w:eastAsia="zh-CN"/>
        </w:rPr>
      </w:pPr>
      <w:r>
        <w:rPr>
          <w:rFonts w:hint="eastAsia"/>
          <w:color w:val="auto"/>
          <w:sz w:val="24"/>
          <w:lang w:val="en-US" w:eastAsia="zh-CN"/>
        </w:rPr>
        <w:t>学历继续教育改革要求教学形式线上线下相结合，如何建设一批适合学历继续教育在线学习的课程以及相对应的在线题库是目前亟需解决的重点</w:t>
      </w:r>
      <w:r>
        <w:rPr>
          <w:rFonts w:hint="eastAsia"/>
          <w:color w:val="auto"/>
          <w:sz w:val="24"/>
        </w:rPr>
        <w:t>。</w:t>
      </w:r>
      <w:r>
        <w:rPr>
          <w:rFonts w:hint="eastAsia"/>
          <w:color w:val="auto"/>
          <w:sz w:val="24"/>
          <w:lang w:val="en-US" w:eastAsia="zh-CN"/>
        </w:rPr>
        <w:t>目前各招生专业的全日制线上资源较为丰富，要针对学历教育进行修改完善的课程资源较少，还需经过一两年的加紧建设。</w:t>
      </w:r>
    </w:p>
    <w:p>
      <w:pPr>
        <w:keepNext w:val="0"/>
        <w:keepLines w:val="0"/>
        <w:pageBreakBefore w:val="0"/>
        <w:kinsoku/>
        <w:wordWrap/>
        <w:overflowPunct/>
        <w:topLinePunct w:val="0"/>
        <w:bidi w:val="0"/>
        <w:adjustRightInd/>
        <w:snapToGrid/>
        <w:spacing w:line="440" w:lineRule="exact"/>
        <w:ind w:firstLine="482" w:firstLineChars="200"/>
        <w:textAlignment w:val="auto"/>
        <w:outlineLvl w:val="1"/>
        <w:rPr>
          <w:b/>
          <w:color w:val="auto"/>
          <w:sz w:val="24"/>
        </w:rPr>
      </w:pPr>
      <w:bookmarkStart w:id="27" w:name="_Toc25459"/>
      <w:r>
        <w:rPr>
          <w:rFonts w:hint="eastAsia"/>
          <w:b/>
          <w:color w:val="auto"/>
          <w:sz w:val="24"/>
        </w:rPr>
        <w:t>（二）存在的主要问题及原因</w:t>
      </w:r>
      <w:bookmarkEnd w:id="27"/>
    </w:p>
    <w:p>
      <w:pPr>
        <w:keepNext w:val="0"/>
        <w:keepLines w:val="0"/>
        <w:pageBreakBefore w:val="0"/>
        <w:kinsoku/>
        <w:wordWrap/>
        <w:overflowPunct/>
        <w:topLinePunct w:val="0"/>
        <w:bidi w:val="0"/>
        <w:adjustRightInd/>
        <w:snapToGrid/>
        <w:spacing w:line="440" w:lineRule="exact"/>
        <w:ind w:firstLine="480" w:firstLineChars="200"/>
        <w:textAlignment w:val="auto"/>
        <w:outlineLvl w:val="0"/>
        <w:rPr>
          <w:rFonts w:hint="eastAsia"/>
          <w:b/>
          <w:color w:val="auto"/>
          <w:sz w:val="30"/>
          <w:szCs w:val="30"/>
          <w:highlight w:val="none"/>
        </w:rPr>
      </w:pPr>
      <w:bookmarkStart w:id="28" w:name="_Toc2728"/>
      <w:r>
        <w:rPr>
          <w:rFonts w:hint="eastAsia"/>
          <w:sz w:val="24"/>
          <w:highlight w:val="none"/>
        </w:rPr>
        <w:t>考证工种数量少。学校目前可面向社会人员开展的考证工种只有人社部门的3个、应急管理部门6个工种，其余为引进的行业、企业工种，含金量不高，社会认可度低，考证工种数量远远不能满足学校年均1</w:t>
      </w:r>
      <w:r>
        <w:rPr>
          <w:sz w:val="24"/>
          <w:highlight w:val="none"/>
        </w:rPr>
        <w:t>0</w:t>
      </w:r>
      <w:r>
        <w:rPr>
          <w:rFonts w:hint="eastAsia"/>
          <w:sz w:val="24"/>
          <w:highlight w:val="none"/>
        </w:rPr>
        <w:t>万左右的社会人员培训量的考证需求，也影响学校培养技能型人才和服务地方经济发展的能力提升。</w:t>
      </w:r>
    </w:p>
    <w:p>
      <w:pPr>
        <w:keepNext w:val="0"/>
        <w:keepLines w:val="0"/>
        <w:pageBreakBefore w:val="0"/>
        <w:kinsoku/>
        <w:wordWrap/>
        <w:overflowPunct/>
        <w:topLinePunct w:val="0"/>
        <w:bidi w:val="0"/>
        <w:adjustRightInd/>
        <w:snapToGrid/>
        <w:spacing w:line="440" w:lineRule="exact"/>
        <w:ind w:firstLine="602" w:firstLineChars="200"/>
        <w:textAlignment w:val="auto"/>
        <w:outlineLvl w:val="0"/>
        <w:rPr>
          <w:b/>
          <w:color w:val="auto"/>
          <w:sz w:val="30"/>
          <w:szCs w:val="30"/>
        </w:rPr>
      </w:pPr>
      <w:r>
        <w:rPr>
          <w:rFonts w:hint="eastAsia"/>
          <w:b/>
          <w:color w:val="auto"/>
          <w:sz w:val="30"/>
          <w:szCs w:val="30"/>
        </w:rPr>
        <w:t>八、</w:t>
      </w:r>
      <w:bookmarkEnd w:id="28"/>
      <w:r>
        <w:rPr>
          <w:rFonts w:hint="eastAsia"/>
          <w:b/>
          <w:color w:val="auto"/>
          <w:sz w:val="30"/>
          <w:szCs w:val="30"/>
        </w:rPr>
        <w:t>工作考虑和建议</w:t>
      </w:r>
    </w:p>
    <w:p>
      <w:pPr>
        <w:keepNext w:val="0"/>
        <w:keepLines w:val="0"/>
        <w:pageBreakBefore w:val="0"/>
        <w:kinsoku/>
        <w:wordWrap/>
        <w:overflowPunct/>
        <w:topLinePunct w:val="0"/>
        <w:bidi w:val="0"/>
        <w:adjustRightInd/>
        <w:snapToGrid/>
        <w:spacing w:line="440" w:lineRule="exact"/>
        <w:ind w:firstLine="482" w:firstLineChars="200"/>
        <w:textAlignment w:val="auto"/>
        <w:rPr>
          <w:rFonts w:ascii="宋体" w:hAnsi="宋体" w:cs="宋体"/>
          <w:b/>
          <w:bCs/>
          <w:color w:val="auto"/>
          <w:sz w:val="24"/>
        </w:rPr>
      </w:pPr>
      <w:r>
        <w:rPr>
          <w:rFonts w:hint="eastAsia" w:ascii="宋体" w:hAnsi="宋体" w:cs="宋体"/>
          <w:b/>
          <w:bCs/>
          <w:color w:val="auto"/>
          <w:sz w:val="24"/>
        </w:rPr>
        <w:t>（一）构建高质量发展新格局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
          <w:bCs/>
          <w:color w:val="auto"/>
          <w:sz w:val="24"/>
          <w:highlight w:val="none"/>
        </w:rPr>
      </w:pPr>
      <w:r>
        <w:rPr>
          <w:rFonts w:hint="eastAsia" w:ascii="宋体" w:hAnsi="宋体" w:cs="宋体"/>
          <w:color w:val="auto"/>
          <w:sz w:val="24"/>
        </w:rPr>
        <w:t>在社会人员对继续教育的需求更加多元化与个性化的新形势下，推动继续教育高质量发展成为服务社会人才培养的必然要求。为加快实现继续教育转型，构建高质量发展的新格局，须从以下两个方面思考：一是充分发挥高校专业学科和人才培养等方面的优势，实施与其整体办学水平相一致的学历继续教育；二是注重非学历继续教育的内涵拓展，以服务社会人才培养为导向，重点把控项目质量，避免培训项目形式化和商业化。</w:t>
      </w:r>
      <w:r>
        <w:rPr>
          <w:rFonts w:hint="eastAsia" w:ascii="宋体" w:hAnsi="宋体" w:cs="宋体"/>
          <w:color w:val="auto"/>
          <w:sz w:val="24"/>
        </w:rPr>
        <w:cr/>
      </w:r>
      <w:r>
        <w:rPr>
          <w:rFonts w:hint="eastAsia" w:ascii="宋体" w:hAnsi="宋体" w:cs="宋体"/>
          <w:color w:val="auto"/>
          <w:sz w:val="24"/>
        </w:rPr>
        <w:t xml:space="preserve">   </w:t>
      </w:r>
      <w:r>
        <w:rPr>
          <w:rFonts w:hint="eastAsia" w:ascii="宋体" w:hAnsi="宋体" w:cs="宋体"/>
          <w:b/>
          <w:bCs/>
          <w:color w:val="auto"/>
          <w:sz w:val="24"/>
        </w:rPr>
        <w:t xml:space="preserve"> </w:t>
      </w:r>
      <w:r>
        <w:rPr>
          <w:rFonts w:hint="eastAsia" w:ascii="宋体" w:hAnsi="宋体" w:cs="宋体"/>
          <w:b/>
          <w:bCs/>
          <w:color w:val="auto"/>
          <w:sz w:val="24"/>
          <w:highlight w:val="none"/>
        </w:rPr>
        <w:t>（二）“一院一品”培育特色品牌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持续优化品牌项目培育方式，</w:t>
      </w:r>
      <w:r>
        <w:rPr>
          <w:rFonts w:ascii="宋体" w:hAnsi="宋体" w:cs="宋体"/>
          <w:color w:val="auto"/>
          <w:sz w:val="24"/>
          <w:highlight w:val="none"/>
        </w:rPr>
        <w:t>依托</w:t>
      </w:r>
      <w:r>
        <w:rPr>
          <w:rFonts w:hint="eastAsia" w:ascii="宋体" w:hAnsi="宋体" w:cs="宋体"/>
          <w:color w:val="auto"/>
          <w:sz w:val="24"/>
          <w:highlight w:val="none"/>
        </w:rPr>
        <w:t>国家级、省级培训基地和</w:t>
      </w:r>
      <w:r>
        <w:rPr>
          <w:rFonts w:ascii="宋体" w:hAnsi="宋体" w:cs="宋体"/>
          <w:color w:val="auto"/>
          <w:sz w:val="24"/>
          <w:highlight w:val="none"/>
        </w:rPr>
        <w:t>“5+N”学院</w:t>
      </w:r>
      <w:r>
        <w:rPr>
          <w:rFonts w:hint="eastAsia" w:ascii="宋体" w:hAnsi="宋体" w:cs="宋体"/>
          <w:color w:val="auto"/>
          <w:sz w:val="24"/>
          <w:highlight w:val="none"/>
        </w:rPr>
        <w:t>平台</w:t>
      </w:r>
      <w:r>
        <w:rPr>
          <w:rFonts w:ascii="宋体" w:hAnsi="宋体" w:cs="宋体"/>
          <w:color w:val="auto"/>
          <w:sz w:val="24"/>
          <w:highlight w:val="none"/>
        </w:rPr>
        <w:t>，发挥专业</w:t>
      </w:r>
      <w:r>
        <w:rPr>
          <w:rFonts w:hint="eastAsia" w:ascii="宋体" w:hAnsi="宋体" w:cs="宋体"/>
          <w:color w:val="auto"/>
          <w:sz w:val="24"/>
          <w:highlight w:val="none"/>
        </w:rPr>
        <w:t>（群）</w:t>
      </w:r>
      <w:r>
        <w:rPr>
          <w:rFonts w:ascii="宋体" w:hAnsi="宋体" w:cs="宋体"/>
          <w:color w:val="auto"/>
          <w:sz w:val="24"/>
          <w:highlight w:val="none"/>
        </w:rPr>
        <w:t>优势</w:t>
      </w:r>
      <w:r>
        <w:rPr>
          <w:rFonts w:hint="eastAsia" w:ascii="宋体" w:hAnsi="宋体" w:cs="宋体"/>
          <w:color w:val="auto"/>
          <w:sz w:val="24"/>
          <w:highlight w:val="none"/>
        </w:rPr>
        <w:t>，聚焦目标，集中力量，1个学院</w:t>
      </w:r>
      <w:r>
        <w:rPr>
          <w:rFonts w:ascii="宋体" w:hAnsi="宋体" w:cs="宋体"/>
          <w:color w:val="auto"/>
          <w:sz w:val="24"/>
          <w:highlight w:val="none"/>
        </w:rPr>
        <w:t>建设</w:t>
      </w:r>
      <w:r>
        <w:rPr>
          <w:rFonts w:hint="eastAsia" w:ascii="宋体" w:hAnsi="宋体" w:cs="宋体"/>
          <w:color w:val="auto"/>
          <w:sz w:val="24"/>
          <w:highlight w:val="none"/>
        </w:rPr>
        <w:t>1个</w:t>
      </w:r>
      <w:r>
        <w:rPr>
          <w:rFonts w:ascii="宋体" w:hAnsi="宋体" w:cs="宋体"/>
          <w:color w:val="auto"/>
          <w:sz w:val="24"/>
          <w:highlight w:val="none"/>
        </w:rPr>
        <w:t>具有核心竞争力</w:t>
      </w:r>
      <w:r>
        <w:rPr>
          <w:rFonts w:hint="eastAsia" w:ascii="宋体" w:hAnsi="宋体" w:cs="宋体"/>
          <w:color w:val="auto"/>
          <w:sz w:val="24"/>
          <w:highlight w:val="none"/>
        </w:rPr>
        <w:t>的品牌培训项目，精准服务社会重点人群；并持续多年深化内涵建设，成为在区域及至全国具有较大社会影响力的培训品牌。同时，增值赋能，全力建设</w:t>
      </w:r>
      <w:r>
        <w:rPr>
          <w:rFonts w:ascii="宋体" w:hAnsi="宋体" w:cs="宋体"/>
          <w:color w:val="auto"/>
          <w:sz w:val="24"/>
          <w:highlight w:val="none"/>
        </w:rPr>
        <w:t>省级</w:t>
      </w:r>
      <w:r>
        <w:rPr>
          <w:rFonts w:hint="eastAsia" w:ascii="宋体" w:hAnsi="宋体" w:cs="宋体"/>
          <w:color w:val="auto"/>
          <w:sz w:val="24"/>
          <w:highlight w:val="none"/>
        </w:rPr>
        <w:t>以上继续教育</w:t>
      </w:r>
      <w:r>
        <w:rPr>
          <w:rFonts w:ascii="宋体" w:hAnsi="宋体" w:cs="宋体"/>
          <w:color w:val="auto"/>
          <w:sz w:val="24"/>
          <w:highlight w:val="none"/>
        </w:rPr>
        <w:t>标志性成果。</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p>
    <w:p>
      <w:pPr>
        <w:keepNext w:val="0"/>
        <w:keepLines w:val="0"/>
        <w:pageBreakBefore w:val="0"/>
        <w:kinsoku/>
        <w:wordWrap/>
        <w:overflowPunct/>
        <w:topLinePunct w:val="0"/>
        <w:bidi w:val="0"/>
        <w:adjustRightInd/>
        <w:snapToGrid/>
        <w:spacing w:line="440" w:lineRule="exact"/>
        <w:ind w:firstLine="480" w:firstLineChars="20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firstLine="723"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附</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bidi="ar"/>
        </w:rPr>
        <w:t>“多元化一体式”职业院校专业教师培训模式探索与创新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200" w:firstLineChars="5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2.“五维”协同，高质量培育乡村产业振兴头雁队伍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1437" w:leftChars="570" w:hanging="240" w:hangingChars="100"/>
        <w:textAlignment w:val="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val="en-US" w:eastAsia="zh-CN" w:bidi="ar"/>
        </w:rPr>
        <w:t xml:space="preserve">3. </w:t>
      </w:r>
      <w:r>
        <w:rPr>
          <w:rFonts w:hint="eastAsia" w:asciiTheme="minorEastAsia" w:hAnsiTheme="minorEastAsia" w:eastAsiaTheme="minorEastAsia" w:cstheme="minorEastAsia"/>
          <w:color w:val="auto"/>
          <w:sz w:val="24"/>
          <w:szCs w:val="24"/>
          <w:lang w:bidi="ar"/>
        </w:rPr>
        <w:t>三阶递进，打造“互联网+教学”线上线下混合式课程-《现代教育技术》为例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1437" w:leftChars="570" w:hanging="240" w:hangingChars="100"/>
        <w:textAlignment w:val="auto"/>
        <w:rPr>
          <w:rFonts w:hint="default" w:asciiTheme="minorEastAsia" w:hAnsiTheme="minorEastAsia" w:eastAsiaTheme="minorEastAsia" w:cstheme="minorEastAsia"/>
          <w:color w:val="auto"/>
          <w:sz w:val="24"/>
          <w:szCs w:val="24"/>
          <w:lang w:val="en-US" w:eastAsia="zh-CN" w:bidi="ar"/>
        </w:rPr>
      </w:pPr>
      <w:r>
        <w:rPr>
          <w:rFonts w:hint="eastAsia" w:asciiTheme="minorEastAsia" w:hAnsiTheme="minorEastAsia" w:eastAsiaTheme="minorEastAsia" w:cstheme="minorEastAsia"/>
          <w:color w:val="auto"/>
          <w:sz w:val="24"/>
          <w:szCs w:val="24"/>
          <w:lang w:val="en-US" w:eastAsia="zh-CN" w:bidi="ar"/>
        </w:rPr>
        <w:t>4.相关数据</w:t>
      </w:r>
    </w:p>
    <w:p>
      <w:pPr>
        <w:spacing w:line="460" w:lineRule="exact"/>
        <w:ind w:firstLine="6000" w:firstLineChars="2500"/>
        <w:rPr>
          <w:rFonts w:hint="eastAsia"/>
          <w:sz w:val="24"/>
        </w:rPr>
      </w:pPr>
    </w:p>
    <w:p>
      <w:pPr>
        <w:spacing w:line="460" w:lineRule="exact"/>
        <w:ind w:firstLine="6000" w:firstLineChars="2500"/>
        <w:rPr>
          <w:rFonts w:hint="eastAsia"/>
          <w:sz w:val="24"/>
        </w:rPr>
      </w:pPr>
    </w:p>
    <w:p>
      <w:pPr>
        <w:spacing w:line="460" w:lineRule="exact"/>
        <w:ind w:firstLine="6000" w:firstLineChars="2500"/>
        <w:rPr>
          <w:rFonts w:hint="eastAsia"/>
          <w:sz w:val="24"/>
        </w:rPr>
      </w:pPr>
    </w:p>
    <w:p>
      <w:pPr>
        <w:spacing w:line="460" w:lineRule="exact"/>
        <w:ind w:firstLine="6000" w:firstLineChars="2500"/>
        <w:rPr>
          <w:rFonts w:hint="eastAsia"/>
          <w:sz w:val="24"/>
        </w:rPr>
      </w:pPr>
    </w:p>
    <w:p>
      <w:pPr>
        <w:spacing w:line="460" w:lineRule="exact"/>
        <w:ind w:firstLine="6000" w:firstLineChars="2500"/>
        <w:rPr>
          <w:sz w:val="24"/>
        </w:rPr>
      </w:pPr>
      <w:r>
        <w:rPr>
          <w:rFonts w:hint="eastAsia"/>
          <w:sz w:val="24"/>
        </w:rPr>
        <w:t>金华职业技术学院</w:t>
      </w:r>
    </w:p>
    <w:p>
      <w:pPr>
        <w:spacing w:line="460" w:lineRule="exact"/>
        <w:ind w:firstLine="6000" w:firstLineChars="250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4</w:t>
      </w:r>
      <w:r>
        <w:rPr>
          <w:sz w:val="24"/>
        </w:rPr>
        <w:t>月</w:t>
      </w:r>
      <w:r>
        <w:rPr>
          <w:rFonts w:hint="eastAsia"/>
          <w:sz w:val="24"/>
          <w:lang w:val="en-US" w:eastAsia="zh-CN"/>
        </w:rPr>
        <w:t>23</w:t>
      </w:r>
      <w:r>
        <w:rPr>
          <w:sz w:val="24"/>
        </w:rPr>
        <w:t>日</w:t>
      </w:r>
    </w:p>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124786"/>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43101"/>
      <w:showingPlcHdr/>
    </w:sdtPr>
    <w:sdtContent>
      <w:p>
        <w:pPr>
          <w:pStyle w:val="10"/>
          <w:jc w:val="center"/>
        </w:pPr>
        <w:r>
          <w:t xml:space="preserve">     </w:t>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85063"/>
    </w:sdtPr>
    <w:sdtContent>
      <w:p>
        <w:pPr>
          <w:pStyle w:val="10"/>
          <w:jc w:val="center"/>
        </w:pPr>
        <w:r>
          <w:fldChar w:fldCharType="begin"/>
        </w:r>
        <w:r>
          <w:instrText xml:space="preserve">PAGE   \* MERGEFORMAT</w:instrText>
        </w:r>
        <w:r>
          <w:fldChar w:fldCharType="separate"/>
        </w:r>
        <w:r>
          <w:rPr>
            <w:lang w:val="zh-CN"/>
          </w:rPr>
          <w:t>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金华职业技术学院202</w:t>
    </w:r>
    <w:r>
      <w:rPr>
        <w:rFonts w:hint="eastAsia"/>
        <w:lang w:val="en-US" w:eastAsia="zh-CN"/>
      </w:rPr>
      <w:t>3</w:t>
    </w:r>
    <w:r>
      <w:rPr>
        <w:rFonts w:hint="eastAsia"/>
      </w:rPr>
      <w:t>年</w:t>
    </w:r>
    <w:r>
      <w:rPr>
        <w:rFonts w:hint="eastAsia"/>
        <w:lang w:val="en-US" w:eastAsia="zh-CN"/>
      </w:rPr>
      <w:t>度</w:t>
    </w:r>
    <w:r>
      <w:rPr>
        <w:rFonts w:hint="eastAsia"/>
      </w:rPr>
      <w:t>继续教育发展报告</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89D6C"/>
    <w:multiLevelType w:val="singleLevel"/>
    <w:tmpl w:val="F1089D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mQzMTg2MGE1YTY3ZDAxMmZkZGFlNzQyYjFiMzEifQ=="/>
  </w:docVars>
  <w:rsids>
    <w:rsidRoot w:val="00AF664A"/>
    <w:rsid w:val="000000B0"/>
    <w:rsid w:val="000015EB"/>
    <w:rsid w:val="00001B5D"/>
    <w:rsid w:val="00002B4C"/>
    <w:rsid w:val="00004E66"/>
    <w:rsid w:val="000120BA"/>
    <w:rsid w:val="0001441F"/>
    <w:rsid w:val="00016ED7"/>
    <w:rsid w:val="00026297"/>
    <w:rsid w:val="000268BB"/>
    <w:rsid w:val="000350D3"/>
    <w:rsid w:val="00040666"/>
    <w:rsid w:val="00064D8B"/>
    <w:rsid w:val="00065216"/>
    <w:rsid w:val="0006637C"/>
    <w:rsid w:val="00073014"/>
    <w:rsid w:val="0007583C"/>
    <w:rsid w:val="00076236"/>
    <w:rsid w:val="0008374D"/>
    <w:rsid w:val="000931F9"/>
    <w:rsid w:val="00097333"/>
    <w:rsid w:val="000A03EF"/>
    <w:rsid w:val="000A06BD"/>
    <w:rsid w:val="000A624E"/>
    <w:rsid w:val="000B58D2"/>
    <w:rsid w:val="000C5848"/>
    <w:rsid w:val="000C73A7"/>
    <w:rsid w:val="000E0ABB"/>
    <w:rsid w:val="000E0B8C"/>
    <w:rsid w:val="000E4B58"/>
    <w:rsid w:val="000F1CEB"/>
    <w:rsid w:val="00111DD3"/>
    <w:rsid w:val="00112C26"/>
    <w:rsid w:val="0011577D"/>
    <w:rsid w:val="00120D09"/>
    <w:rsid w:val="00121A3E"/>
    <w:rsid w:val="00125216"/>
    <w:rsid w:val="00132265"/>
    <w:rsid w:val="00136D92"/>
    <w:rsid w:val="00136F48"/>
    <w:rsid w:val="00140886"/>
    <w:rsid w:val="001432E0"/>
    <w:rsid w:val="00145103"/>
    <w:rsid w:val="00146433"/>
    <w:rsid w:val="00150BF8"/>
    <w:rsid w:val="001612A5"/>
    <w:rsid w:val="00161492"/>
    <w:rsid w:val="00162BAA"/>
    <w:rsid w:val="00164FA6"/>
    <w:rsid w:val="001677F2"/>
    <w:rsid w:val="00173453"/>
    <w:rsid w:val="00177144"/>
    <w:rsid w:val="00181794"/>
    <w:rsid w:val="0018292D"/>
    <w:rsid w:val="00197C97"/>
    <w:rsid w:val="001A1C7E"/>
    <w:rsid w:val="001A6C20"/>
    <w:rsid w:val="001B576E"/>
    <w:rsid w:val="001C225F"/>
    <w:rsid w:val="001C236E"/>
    <w:rsid w:val="001C591B"/>
    <w:rsid w:val="001C5A92"/>
    <w:rsid w:val="001E0622"/>
    <w:rsid w:val="001E3FDE"/>
    <w:rsid w:val="001E5496"/>
    <w:rsid w:val="001F3FCC"/>
    <w:rsid w:val="001F54D0"/>
    <w:rsid w:val="00200CA7"/>
    <w:rsid w:val="00201C19"/>
    <w:rsid w:val="00203DE2"/>
    <w:rsid w:val="002077AD"/>
    <w:rsid w:val="00213B5B"/>
    <w:rsid w:val="00215729"/>
    <w:rsid w:val="00217933"/>
    <w:rsid w:val="0022276F"/>
    <w:rsid w:val="002341AF"/>
    <w:rsid w:val="00234C69"/>
    <w:rsid w:val="00237F84"/>
    <w:rsid w:val="0024062C"/>
    <w:rsid w:val="00252032"/>
    <w:rsid w:val="00252576"/>
    <w:rsid w:val="00252B42"/>
    <w:rsid w:val="00254D4A"/>
    <w:rsid w:val="00261296"/>
    <w:rsid w:val="00262AC9"/>
    <w:rsid w:val="00272117"/>
    <w:rsid w:val="00272E86"/>
    <w:rsid w:val="002735A9"/>
    <w:rsid w:val="00274BB0"/>
    <w:rsid w:val="002761CF"/>
    <w:rsid w:val="00284CA2"/>
    <w:rsid w:val="00291E66"/>
    <w:rsid w:val="00296B6A"/>
    <w:rsid w:val="00297AF7"/>
    <w:rsid w:val="002A100C"/>
    <w:rsid w:val="002A297B"/>
    <w:rsid w:val="002A3FC8"/>
    <w:rsid w:val="002B1EC1"/>
    <w:rsid w:val="002B5D6F"/>
    <w:rsid w:val="002B6740"/>
    <w:rsid w:val="002D47CC"/>
    <w:rsid w:val="002D5143"/>
    <w:rsid w:val="002F143A"/>
    <w:rsid w:val="002F297C"/>
    <w:rsid w:val="00306EBD"/>
    <w:rsid w:val="00306F22"/>
    <w:rsid w:val="00311F3D"/>
    <w:rsid w:val="00313ACC"/>
    <w:rsid w:val="003204BB"/>
    <w:rsid w:val="0032309D"/>
    <w:rsid w:val="00327978"/>
    <w:rsid w:val="003301A1"/>
    <w:rsid w:val="0033153E"/>
    <w:rsid w:val="003345F1"/>
    <w:rsid w:val="003346F5"/>
    <w:rsid w:val="0033643E"/>
    <w:rsid w:val="00337FDB"/>
    <w:rsid w:val="00342AEF"/>
    <w:rsid w:val="0034548D"/>
    <w:rsid w:val="00350796"/>
    <w:rsid w:val="00351211"/>
    <w:rsid w:val="00360617"/>
    <w:rsid w:val="00361BCF"/>
    <w:rsid w:val="00362009"/>
    <w:rsid w:val="003620D3"/>
    <w:rsid w:val="00362E0B"/>
    <w:rsid w:val="0036594A"/>
    <w:rsid w:val="00366840"/>
    <w:rsid w:val="003673C7"/>
    <w:rsid w:val="00370809"/>
    <w:rsid w:val="00370E6C"/>
    <w:rsid w:val="00372583"/>
    <w:rsid w:val="00377726"/>
    <w:rsid w:val="003825BB"/>
    <w:rsid w:val="00386F0C"/>
    <w:rsid w:val="003934F1"/>
    <w:rsid w:val="003A1A7F"/>
    <w:rsid w:val="003B5F85"/>
    <w:rsid w:val="003B5FB7"/>
    <w:rsid w:val="003C20B2"/>
    <w:rsid w:val="003C606E"/>
    <w:rsid w:val="003E0C76"/>
    <w:rsid w:val="003F3049"/>
    <w:rsid w:val="00400176"/>
    <w:rsid w:val="00401729"/>
    <w:rsid w:val="004121F5"/>
    <w:rsid w:val="00414F57"/>
    <w:rsid w:val="004161DD"/>
    <w:rsid w:val="00420283"/>
    <w:rsid w:val="00426BF9"/>
    <w:rsid w:val="004516CE"/>
    <w:rsid w:val="00453340"/>
    <w:rsid w:val="00456043"/>
    <w:rsid w:val="004610C5"/>
    <w:rsid w:val="00466796"/>
    <w:rsid w:val="004715E8"/>
    <w:rsid w:val="004745B5"/>
    <w:rsid w:val="00480F15"/>
    <w:rsid w:val="00482455"/>
    <w:rsid w:val="00494F8E"/>
    <w:rsid w:val="004979EB"/>
    <w:rsid w:val="004A1236"/>
    <w:rsid w:val="004A7BDB"/>
    <w:rsid w:val="004B3129"/>
    <w:rsid w:val="004B471E"/>
    <w:rsid w:val="004C026A"/>
    <w:rsid w:val="004C43DA"/>
    <w:rsid w:val="004D0CB5"/>
    <w:rsid w:val="004D1312"/>
    <w:rsid w:val="004E5198"/>
    <w:rsid w:val="004E5668"/>
    <w:rsid w:val="004E5E89"/>
    <w:rsid w:val="004F15C9"/>
    <w:rsid w:val="004F6DE0"/>
    <w:rsid w:val="004F7065"/>
    <w:rsid w:val="004F7ABC"/>
    <w:rsid w:val="00510601"/>
    <w:rsid w:val="005240B1"/>
    <w:rsid w:val="005365A5"/>
    <w:rsid w:val="00537C6B"/>
    <w:rsid w:val="00541129"/>
    <w:rsid w:val="00547EF3"/>
    <w:rsid w:val="00552344"/>
    <w:rsid w:val="0055773C"/>
    <w:rsid w:val="0056273A"/>
    <w:rsid w:val="005733D0"/>
    <w:rsid w:val="00595C00"/>
    <w:rsid w:val="00596472"/>
    <w:rsid w:val="005966C4"/>
    <w:rsid w:val="005A27F4"/>
    <w:rsid w:val="005A34C9"/>
    <w:rsid w:val="005A39EF"/>
    <w:rsid w:val="005A42B9"/>
    <w:rsid w:val="005A5F91"/>
    <w:rsid w:val="005B158A"/>
    <w:rsid w:val="005C0FD8"/>
    <w:rsid w:val="005C3D48"/>
    <w:rsid w:val="005C50B2"/>
    <w:rsid w:val="005C71B7"/>
    <w:rsid w:val="005D243A"/>
    <w:rsid w:val="005E19E0"/>
    <w:rsid w:val="005E1CE2"/>
    <w:rsid w:val="006005BB"/>
    <w:rsid w:val="00607633"/>
    <w:rsid w:val="00610290"/>
    <w:rsid w:val="006114CB"/>
    <w:rsid w:val="006140EE"/>
    <w:rsid w:val="00614EE7"/>
    <w:rsid w:val="0061569A"/>
    <w:rsid w:val="00617FFE"/>
    <w:rsid w:val="0063393B"/>
    <w:rsid w:val="00634C87"/>
    <w:rsid w:val="00645E28"/>
    <w:rsid w:val="00647033"/>
    <w:rsid w:val="00650656"/>
    <w:rsid w:val="00670E91"/>
    <w:rsid w:val="00673586"/>
    <w:rsid w:val="006754E5"/>
    <w:rsid w:val="00677F7F"/>
    <w:rsid w:val="00687601"/>
    <w:rsid w:val="00690533"/>
    <w:rsid w:val="00690F7F"/>
    <w:rsid w:val="00692A60"/>
    <w:rsid w:val="006930B1"/>
    <w:rsid w:val="006A044B"/>
    <w:rsid w:val="006A04A0"/>
    <w:rsid w:val="006B68A6"/>
    <w:rsid w:val="006C291E"/>
    <w:rsid w:val="006C5DA8"/>
    <w:rsid w:val="006D2BF0"/>
    <w:rsid w:val="006D3951"/>
    <w:rsid w:val="006F742C"/>
    <w:rsid w:val="0070242D"/>
    <w:rsid w:val="0071388F"/>
    <w:rsid w:val="00714301"/>
    <w:rsid w:val="007203E2"/>
    <w:rsid w:val="0072171E"/>
    <w:rsid w:val="00721F6F"/>
    <w:rsid w:val="0072299A"/>
    <w:rsid w:val="00723853"/>
    <w:rsid w:val="00724FD3"/>
    <w:rsid w:val="00725B86"/>
    <w:rsid w:val="00725BDF"/>
    <w:rsid w:val="0073232F"/>
    <w:rsid w:val="007410BE"/>
    <w:rsid w:val="00765CB4"/>
    <w:rsid w:val="00772D62"/>
    <w:rsid w:val="00776B4B"/>
    <w:rsid w:val="00781BA4"/>
    <w:rsid w:val="00782BC8"/>
    <w:rsid w:val="00785417"/>
    <w:rsid w:val="00785548"/>
    <w:rsid w:val="00794DDF"/>
    <w:rsid w:val="007A1481"/>
    <w:rsid w:val="007A5DFF"/>
    <w:rsid w:val="007B1425"/>
    <w:rsid w:val="007B3746"/>
    <w:rsid w:val="007C01E7"/>
    <w:rsid w:val="007C0E94"/>
    <w:rsid w:val="007C19A4"/>
    <w:rsid w:val="007C1B51"/>
    <w:rsid w:val="007C20E7"/>
    <w:rsid w:val="007C67F3"/>
    <w:rsid w:val="007D21F7"/>
    <w:rsid w:val="007E0891"/>
    <w:rsid w:val="007E4A07"/>
    <w:rsid w:val="007E672D"/>
    <w:rsid w:val="007F3B9C"/>
    <w:rsid w:val="007F412B"/>
    <w:rsid w:val="007F5570"/>
    <w:rsid w:val="007F6202"/>
    <w:rsid w:val="007F6B91"/>
    <w:rsid w:val="008019FE"/>
    <w:rsid w:val="00837F7D"/>
    <w:rsid w:val="008435C5"/>
    <w:rsid w:val="008461E6"/>
    <w:rsid w:val="00846A66"/>
    <w:rsid w:val="00850806"/>
    <w:rsid w:val="0085600D"/>
    <w:rsid w:val="008577FD"/>
    <w:rsid w:val="00862742"/>
    <w:rsid w:val="00862DE1"/>
    <w:rsid w:val="008652E7"/>
    <w:rsid w:val="008665BB"/>
    <w:rsid w:val="008725FE"/>
    <w:rsid w:val="008744D0"/>
    <w:rsid w:val="00880BBE"/>
    <w:rsid w:val="00892956"/>
    <w:rsid w:val="008A1423"/>
    <w:rsid w:val="008A7DC1"/>
    <w:rsid w:val="008B297A"/>
    <w:rsid w:val="008B3F27"/>
    <w:rsid w:val="008C27D3"/>
    <w:rsid w:val="008C45D0"/>
    <w:rsid w:val="008C5094"/>
    <w:rsid w:val="008C5507"/>
    <w:rsid w:val="008C671D"/>
    <w:rsid w:val="008C6D35"/>
    <w:rsid w:val="008D0781"/>
    <w:rsid w:val="008D1C0D"/>
    <w:rsid w:val="008D769E"/>
    <w:rsid w:val="008E7B7A"/>
    <w:rsid w:val="008E7EE1"/>
    <w:rsid w:val="008F71E7"/>
    <w:rsid w:val="00902488"/>
    <w:rsid w:val="00903D10"/>
    <w:rsid w:val="00905189"/>
    <w:rsid w:val="00911107"/>
    <w:rsid w:val="00922D65"/>
    <w:rsid w:val="009349F2"/>
    <w:rsid w:val="00936278"/>
    <w:rsid w:val="00936DE0"/>
    <w:rsid w:val="00941BAB"/>
    <w:rsid w:val="009478C8"/>
    <w:rsid w:val="00947A00"/>
    <w:rsid w:val="0095154C"/>
    <w:rsid w:val="009617F7"/>
    <w:rsid w:val="00965D5D"/>
    <w:rsid w:val="009662DF"/>
    <w:rsid w:val="00966F1F"/>
    <w:rsid w:val="00975A3B"/>
    <w:rsid w:val="009A02AE"/>
    <w:rsid w:val="009A5335"/>
    <w:rsid w:val="009A7EE4"/>
    <w:rsid w:val="009B341E"/>
    <w:rsid w:val="009B3E57"/>
    <w:rsid w:val="009B569F"/>
    <w:rsid w:val="009C511B"/>
    <w:rsid w:val="009C65EE"/>
    <w:rsid w:val="009D1984"/>
    <w:rsid w:val="009D46B5"/>
    <w:rsid w:val="009D4C96"/>
    <w:rsid w:val="009D7B21"/>
    <w:rsid w:val="009E0459"/>
    <w:rsid w:val="009E187B"/>
    <w:rsid w:val="009E4775"/>
    <w:rsid w:val="009E4FA8"/>
    <w:rsid w:val="00A026AA"/>
    <w:rsid w:val="00A02D56"/>
    <w:rsid w:val="00A16438"/>
    <w:rsid w:val="00A21B4B"/>
    <w:rsid w:val="00A30A50"/>
    <w:rsid w:val="00A324DC"/>
    <w:rsid w:val="00A3277C"/>
    <w:rsid w:val="00A340F6"/>
    <w:rsid w:val="00A3541A"/>
    <w:rsid w:val="00A43344"/>
    <w:rsid w:val="00A45963"/>
    <w:rsid w:val="00A56C3E"/>
    <w:rsid w:val="00A57CBF"/>
    <w:rsid w:val="00A621CA"/>
    <w:rsid w:val="00A64283"/>
    <w:rsid w:val="00A6767E"/>
    <w:rsid w:val="00A857B6"/>
    <w:rsid w:val="00A93234"/>
    <w:rsid w:val="00A93669"/>
    <w:rsid w:val="00AA492A"/>
    <w:rsid w:val="00AA6F67"/>
    <w:rsid w:val="00AB14CA"/>
    <w:rsid w:val="00AB234A"/>
    <w:rsid w:val="00AB425E"/>
    <w:rsid w:val="00AB64CC"/>
    <w:rsid w:val="00AC3431"/>
    <w:rsid w:val="00AC5317"/>
    <w:rsid w:val="00AC732B"/>
    <w:rsid w:val="00AD36B5"/>
    <w:rsid w:val="00AD4A6C"/>
    <w:rsid w:val="00AD528D"/>
    <w:rsid w:val="00AD59D9"/>
    <w:rsid w:val="00AE6367"/>
    <w:rsid w:val="00AF03D3"/>
    <w:rsid w:val="00AF1596"/>
    <w:rsid w:val="00AF47D6"/>
    <w:rsid w:val="00AF664A"/>
    <w:rsid w:val="00B001D3"/>
    <w:rsid w:val="00B00E70"/>
    <w:rsid w:val="00B04F13"/>
    <w:rsid w:val="00B056AE"/>
    <w:rsid w:val="00B121D4"/>
    <w:rsid w:val="00B25A9C"/>
    <w:rsid w:val="00B270B8"/>
    <w:rsid w:val="00B2762D"/>
    <w:rsid w:val="00B36345"/>
    <w:rsid w:val="00B372AE"/>
    <w:rsid w:val="00B464EC"/>
    <w:rsid w:val="00B52B66"/>
    <w:rsid w:val="00B56F75"/>
    <w:rsid w:val="00B63EE2"/>
    <w:rsid w:val="00B642D0"/>
    <w:rsid w:val="00B65CDE"/>
    <w:rsid w:val="00B66E10"/>
    <w:rsid w:val="00B66EAC"/>
    <w:rsid w:val="00B7022A"/>
    <w:rsid w:val="00B71203"/>
    <w:rsid w:val="00B761B0"/>
    <w:rsid w:val="00B82965"/>
    <w:rsid w:val="00B90D42"/>
    <w:rsid w:val="00B95109"/>
    <w:rsid w:val="00BA000E"/>
    <w:rsid w:val="00BA038E"/>
    <w:rsid w:val="00BA083E"/>
    <w:rsid w:val="00BA277F"/>
    <w:rsid w:val="00BA27D8"/>
    <w:rsid w:val="00BA2A87"/>
    <w:rsid w:val="00BB6DEC"/>
    <w:rsid w:val="00BC3E08"/>
    <w:rsid w:val="00BC7034"/>
    <w:rsid w:val="00BD0F38"/>
    <w:rsid w:val="00BD4CF2"/>
    <w:rsid w:val="00C00547"/>
    <w:rsid w:val="00C0137D"/>
    <w:rsid w:val="00C01508"/>
    <w:rsid w:val="00C01E07"/>
    <w:rsid w:val="00C04F9A"/>
    <w:rsid w:val="00C05216"/>
    <w:rsid w:val="00C10A77"/>
    <w:rsid w:val="00C15CA4"/>
    <w:rsid w:val="00C169CB"/>
    <w:rsid w:val="00C17DC1"/>
    <w:rsid w:val="00C242C9"/>
    <w:rsid w:val="00C30D12"/>
    <w:rsid w:val="00C33832"/>
    <w:rsid w:val="00C35262"/>
    <w:rsid w:val="00C4223C"/>
    <w:rsid w:val="00C57983"/>
    <w:rsid w:val="00C60940"/>
    <w:rsid w:val="00C60DFA"/>
    <w:rsid w:val="00C65096"/>
    <w:rsid w:val="00C734C9"/>
    <w:rsid w:val="00C738C7"/>
    <w:rsid w:val="00C81E12"/>
    <w:rsid w:val="00C83974"/>
    <w:rsid w:val="00C85D30"/>
    <w:rsid w:val="00C87F83"/>
    <w:rsid w:val="00CA1397"/>
    <w:rsid w:val="00CA2A45"/>
    <w:rsid w:val="00CA3629"/>
    <w:rsid w:val="00CB2A71"/>
    <w:rsid w:val="00CB32D9"/>
    <w:rsid w:val="00CB3D5E"/>
    <w:rsid w:val="00CB4A94"/>
    <w:rsid w:val="00CC28C1"/>
    <w:rsid w:val="00CC3375"/>
    <w:rsid w:val="00CD278B"/>
    <w:rsid w:val="00CE04F2"/>
    <w:rsid w:val="00CE4680"/>
    <w:rsid w:val="00CE61DD"/>
    <w:rsid w:val="00CF1096"/>
    <w:rsid w:val="00CF4CA4"/>
    <w:rsid w:val="00D03FD7"/>
    <w:rsid w:val="00D07159"/>
    <w:rsid w:val="00D14B80"/>
    <w:rsid w:val="00D1778F"/>
    <w:rsid w:val="00D25B79"/>
    <w:rsid w:val="00D26782"/>
    <w:rsid w:val="00D3209D"/>
    <w:rsid w:val="00D33CA7"/>
    <w:rsid w:val="00D34E47"/>
    <w:rsid w:val="00D4497A"/>
    <w:rsid w:val="00D4787A"/>
    <w:rsid w:val="00D52BF6"/>
    <w:rsid w:val="00D54A37"/>
    <w:rsid w:val="00D55361"/>
    <w:rsid w:val="00D579F1"/>
    <w:rsid w:val="00D74839"/>
    <w:rsid w:val="00D90F3A"/>
    <w:rsid w:val="00D93094"/>
    <w:rsid w:val="00D942D7"/>
    <w:rsid w:val="00DA374E"/>
    <w:rsid w:val="00DA4849"/>
    <w:rsid w:val="00DA61B5"/>
    <w:rsid w:val="00DA6516"/>
    <w:rsid w:val="00DB445A"/>
    <w:rsid w:val="00DB6410"/>
    <w:rsid w:val="00DD290E"/>
    <w:rsid w:val="00DE6EC8"/>
    <w:rsid w:val="00DE7DD3"/>
    <w:rsid w:val="00DF1936"/>
    <w:rsid w:val="00DF4609"/>
    <w:rsid w:val="00DF5E87"/>
    <w:rsid w:val="00DF7D5A"/>
    <w:rsid w:val="00DF7FE8"/>
    <w:rsid w:val="00E01A53"/>
    <w:rsid w:val="00E024BB"/>
    <w:rsid w:val="00E0711E"/>
    <w:rsid w:val="00E07DB5"/>
    <w:rsid w:val="00E1189D"/>
    <w:rsid w:val="00E13283"/>
    <w:rsid w:val="00E135AE"/>
    <w:rsid w:val="00E14CEE"/>
    <w:rsid w:val="00E16644"/>
    <w:rsid w:val="00E17457"/>
    <w:rsid w:val="00E2475D"/>
    <w:rsid w:val="00E35B45"/>
    <w:rsid w:val="00E35D44"/>
    <w:rsid w:val="00E36B03"/>
    <w:rsid w:val="00E44143"/>
    <w:rsid w:val="00E732C3"/>
    <w:rsid w:val="00E827CF"/>
    <w:rsid w:val="00E84071"/>
    <w:rsid w:val="00E9260D"/>
    <w:rsid w:val="00E93476"/>
    <w:rsid w:val="00E94E80"/>
    <w:rsid w:val="00E95A17"/>
    <w:rsid w:val="00E961E3"/>
    <w:rsid w:val="00EA4541"/>
    <w:rsid w:val="00EA723A"/>
    <w:rsid w:val="00EB0A59"/>
    <w:rsid w:val="00EB2E3B"/>
    <w:rsid w:val="00EB473F"/>
    <w:rsid w:val="00EC1F5D"/>
    <w:rsid w:val="00EC3A18"/>
    <w:rsid w:val="00EC3C6E"/>
    <w:rsid w:val="00EC578D"/>
    <w:rsid w:val="00EC5C7C"/>
    <w:rsid w:val="00EC6308"/>
    <w:rsid w:val="00EC72B7"/>
    <w:rsid w:val="00ED14BB"/>
    <w:rsid w:val="00ED30C7"/>
    <w:rsid w:val="00EE09C8"/>
    <w:rsid w:val="00EE1A97"/>
    <w:rsid w:val="00EE1FD5"/>
    <w:rsid w:val="00EE509D"/>
    <w:rsid w:val="00EF2249"/>
    <w:rsid w:val="00EF7644"/>
    <w:rsid w:val="00F002F0"/>
    <w:rsid w:val="00F03F32"/>
    <w:rsid w:val="00F05AE3"/>
    <w:rsid w:val="00F0698D"/>
    <w:rsid w:val="00F12E02"/>
    <w:rsid w:val="00F17E96"/>
    <w:rsid w:val="00F20362"/>
    <w:rsid w:val="00F2097B"/>
    <w:rsid w:val="00F2341D"/>
    <w:rsid w:val="00F234B9"/>
    <w:rsid w:val="00F250CC"/>
    <w:rsid w:val="00F26265"/>
    <w:rsid w:val="00F277A9"/>
    <w:rsid w:val="00F30C69"/>
    <w:rsid w:val="00F41225"/>
    <w:rsid w:val="00F52659"/>
    <w:rsid w:val="00F54613"/>
    <w:rsid w:val="00F61656"/>
    <w:rsid w:val="00F62063"/>
    <w:rsid w:val="00F6384D"/>
    <w:rsid w:val="00F6709C"/>
    <w:rsid w:val="00F67763"/>
    <w:rsid w:val="00F712AD"/>
    <w:rsid w:val="00F72CA6"/>
    <w:rsid w:val="00F77BE9"/>
    <w:rsid w:val="00F77DB3"/>
    <w:rsid w:val="00F837E8"/>
    <w:rsid w:val="00F8643C"/>
    <w:rsid w:val="00F91CA6"/>
    <w:rsid w:val="00F92103"/>
    <w:rsid w:val="00F92774"/>
    <w:rsid w:val="00F9306A"/>
    <w:rsid w:val="00FA58DA"/>
    <w:rsid w:val="00FA6290"/>
    <w:rsid w:val="00FB4416"/>
    <w:rsid w:val="00FB460B"/>
    <w:rsid w:val="00FC444C"/>
    <w:rsid w:val="00FD0803"/>
    <w:rsid w:val="00FD080E"/>
    <w:rsid w:val="00FD441F"/>
    <w:rsid w:val="00FD6723"/>
    <w:rsid w:val="00FD6D0D"/>
    <w:rsid w:val="00FD6EEB"/>
    <w:rsid w:val="00FE6EB3"/>
    <w:rsid w:val="00FF25A2"/>
    <w:rsid w:val="00FF75E4"/>
    <w:rsid w:val="015F6CEE"/>
    <w:rsid w:val="01AB1225"/>
    <w:rsid w:val="01B93CFD"/>
    <w:rsid w:val="01DD5386"/>
    <w:rsid w:val="01F22715"/>
    <w:rsid w:val="020058B7"/>
    <w:rsid w:val="03185165"/>
    <w:rsid w:val="031E0D91"/>
    <w:rsid w:val="0320086A"/>
    <w:rsid w:val="032E6065"/>
    <w:rsid w:val="03BD121A"/>
    <w:rsid w:val="03E47515"/>
    <w:rsid w:val="04947786"/>
    <w:rsid w:val="04AF4C3A"/>
    <w:rsid w:val="04C56505"/>
    <w:rsid w:val="04CD349F"/>
    <w:rsid w:val="051C78D2"/>
    <w:rsid w:val="05237292"/>
    <w:rsid w:val="057A634F"/>
    <w:rsid w:val="05C27717"/>
    <w:rsid w:val="05F768CB"/>
    <w:rsid w:val="06114A78"/>
    <w:rsid w:val="063755FD"/>
    <w:rsid w:val="06581617"/>
    <w:rsid w:val="06C83D95"/>
    <w:rsid w:val="06CD4C9D"/>
    <w:rsid w:val="06DB3FBD"/>
    <w:rsid w:val="0701342E"/>
    <w:rsid w:val="075F5104"/>
    <w:rsid w:val="078273B3"/>
    <w:rsid w:val="07C5517D"/>
    <w:rsid w:val="07F7358F"/>
    <w:rsid w:val="083B3CB3"/>
    <w:rsid w:val="088852FD"/>
    <w:rsid w:val="08A137D8"/>
    <w:rsid w:val="08FF1BA5"/>
    <w:rsid w:val="0910522E"/>
    <w:rsid w:val="095928B0"/>
    <w:rsid w:val="096C4286"/>
    <w:rsid w:val="09715F27"/>
    <w:rsid w:val="09B62357"/>
    <w:rsid w:val="09D12B79"/>
    <w:rsid w:val="09DD01E9"/>
    <w:rsid w:val="0A6273B4"/>
    <w:rsid w:val="0A661520"/>
    <w:rsid w:val="0A712268"/>
    <w:rsid w:val="0A90152E"/>
    <w:rsid w:val="0AB45DE4"/>
    <w:rsid w:val="0AC71AFF"/>
    <w:rsid w:val="0AF852E5"/>
    <w:rsid w:val="0B0C3E91"/>
    <w:rsid w:val="0B2E588E"/>
    <w:rsid w:val="0B463AB1"/>
    <w:rsid w:val="0BB6757D"/>
    <w:rsid w:val="0C2E7C04"/>
    <w:rsid w:val="0CE94A7E"/>
    <w:rsid w:val="0D175139"/>
    <w:rsid w:val="0D194C37"/>
    <w:rsid w:val="0DDE3227"/>
    <w:rsid w:val="0E137662"/>
    <w:rsid w:val="0EC63BCA"/>
    <w:rsid w:val="0EDA59D8"/>
    <w:rsid w:val="0F992196"/>
    <w:rsid w:val="0FE45650"/>
    <w:rsid w:val="0FFA503F"/>
    <w:rsid w:val="0FFD0079"/>
    <w:rsid w:val="10305597"/>
    <w:rsid w:val="10444289"/>
    <w:rsid w:val="10540F6D"/>
    <w:rsid w:val="105A6563"/>
    <w:rsid w:val="1066377D"/>
    <w:rsid w:val="109D24DC"/>
    <w:rsid w:val="11557A74"/>
    <w:rsid w:val="118A4334"/>
    <w:rsid w:val="119349A2"/>
    <w:rsid w:val="11C3437B"/>
    <w:rsid w:val="11FA5E5D"/>
    <w:rsid w:val="120739C9"/>
    <w:rsid w:val="121F5BBC"/>
    <w:rsid w:val="122A228A"/>
    <w:rsid w:val="12A61E39"/>
    <w:rsid w:val="12FD550D"/>
    <w:rsid w:val="137331ED"/>
    <w:rsid w:val="13B96F3D"/>
    <w:rsid w:val="13F92D59"/>
    <w:rsid w:val="14321230"/>
    <w:rsid w:val="143F522B"/>
    <w:rsid w:val="144375BB"/>
    <w:rsid w:val="14D31DC5"/>
    <w:rsid w:val="151C4384"/>
    <w:rsid w:val="151F7D04"/>
    <w:rsid w:val="1530619E"/>
    <w:rsid w:val="15BF569B"/>
    <w:rsid w:val="15D813E6"/>
    <w:rsid w:val="15DB103F"/>
    <w:rsid w:val="15DB67D7"/>
    <w:rsid w:val="15EB5103"/>
    <w:rsid w:val="160475A2"/>
    <w:rsid w:val="161074F0"/>
    <w:rsid w:val="167C275F"/>
    <w:rsid w:val="16D31EDE"/>
    <w:rsid w:val="16E25CA1"/>
    <w:rsid w:val="16E5472B"/>
    <w:rsid w:val="17167E37"/>
    <w:rsid w:val="17680C96"/>
    <w:rsid w:val="176E41C2"/>
    <w:rsid w:val="17850807"/>
    <w:rsid w:val="179C1431"/>
    <w:rsid w:val="17CF1E32"/>
    <w:rsid w:val="17D25CA4"/>
    <w:rsid w:val="17E933B9"/>
    <w:rsid w:val="18084C15"/>
    <w:rsid w:val="18346ECF"/>
    <w:rsid w:val="18462B75"/>
    <w:rsid w:val="18FE1A0C"/>
    <w:rsid w:val="19245F50"/>
    <w:rsid w:val="192D05A2"/>
    <w:rsid w:val="1A572067"/>
    <w:rsid w:val="1A5A43EF"/>
    <w:rsid w:val="1A9B6F28"/>
    <w:rsid w:val="1B200B54"/>
    <w:rsid w:val="1B23090E"/>
    <w:rsid w:val="1B9840A4"/>
    <w:rsid w:val="1BE57355"/>
    <w:rsid w:val="1C2635B1"/>
    <w:rsid w:val="1C523CC9"/>
    <w:rsid w:val="1CA275B6"/>
    <w:rsid w:val="1CBC72D2"/>
    <w:rsid w:val="1CBF4353"/>
    <w:rsid w:val="1CC75DD6"/>
    <w:rsid w:val="1CC8138C"/>
    <w:rsid w:val="1CDB4FF2"/>
    <w:rsid w:val="1D361749"/>
    <w:rsid w:val="1D514B94"/>
    <w:rsid w:val="1D5938AB"/>
    <w:rsid w:val="1D5C1D70"/>
    <w:rsid w:val="1DA3175B"/>
    <w:rsid w:val="1DD2130D"/>
    <w:rsid w:val="1DD82E36"/>
    <w:rsid w:val="1DE36CE9"/>
    <w:rsid w:val="1E0F55F9"/>
    <w:rsid w:val="1E2C535C"/>
    <w:rsid w:val="1EF75E33"/>
    <w:rsid w:val="1F491227"/>
    <w:rsid w:val="1F790048"/>
    <w:rsid w:val="1F7C5A7F"/>
    <w:rsid w:val="1F9A6D4B"/>
    <w:rsid w:val="1FB812A8"/>
    <w:rsid w:val="1FB912DB"/>
    <w:rsid w:val="1FF24CBA"/>
    <w:rsid w:val="20215C63"/>
    <w:rsid w:val="20256A93"/>
    <w:rsid w:val="203A5B05"/>
    <w:rsid w:val="20872F08"/>
    <w:rsid w:val="20C16620"/>
    <w:rsid w:val="20CD78BC"/>
    <w:rsid w:val="213543FE"/>
    <w:rsid w:val="21541FA7"/>
    <w:rsid w:val="21BD74E5"/>
    <w:rsid w:val="22597C06"/>
    <w:rsid w:val="22A1272D"/>
    <w:rsid w:val="22AE2C97"/>
    <w:rsid w:val="22FF2B47"/>
    <w:rsid w:val="235532C0"/>
    <w:rsid w:val="23636E58"/>
    <w:rsid w:val="23782997"/>
    <w:rsid w:val="23794631"/>
    <w:rsid w:val="238D6743"/>
    <w:rsid w:val="238D6B77"/>
    <w:rsid w:val="23A7723A"/>
    <w:rsid w:val="241F1F51"/>
    <w:rsid w:val="24454D52"/>
    <w:rsid w:val="24C072F0"/>
    <w:rsid w:val="24C6019F"/>
    <w:rsid w:val="24CE594B"/>
    <w:rsid w:val="2517369C"/>
    <w:rsid w:val="253518E6"/>
    <w:rsid w:val="25495F16"/>
    <w:rsid w:val="25580CA1"/>
    <w:rsid w:val="25A71A7E"/>
    <w:rsid w:val="26230331"/>
    <w:rsid w:val="26391AB4"/>
    <w:rsid w:val="26542F2A"/>
    <w:rsid w:val="265A519C"/>
    <w:rsid w:val="269009DE"/>
    <w:rsid w:val="26976211"/>
    <w:rsid w:val="26A426AF"/>
    <w:rsid w:val="26C33434"/>
    <w:rsid w:val="26D441CF"/>
    <w:rsid w:val="26D55EEB"/>
    <w:rsid w:val="27257379"/>
    <w:rsid w:val="272D23C6"/>
    <w:rsid w:val="276F3B8C"/>
    <w:rsid w:val="27C36361"/>
    <w:rsid w:val="27F356C9"/>
    <w:rsid w:val="28310B90"/>
    <w:rsid w:val="283F20FC"/>
    <w:rsid w:val="28811A6A"/>
    <w:rsid w:val="288619A7"/>
    <w:rsid w:val="29170954"/>
    <w:rsid w:val="29225AAD"/>
    <w:rsid w:val="292E3ACC"/>
    <w:rsid w:val="293840E7"/>
    <w:rsid w:val="294E1FBA"/>
    <w:rsid w:val="295212E9"/>
    <w:rsid w:val="296C5C07"/>
    <w:rsid w:val="297563DE"/>
    <w:rsid w:val="299B190C"/>
    <w:rsid w:val="29DE27B5"/>
    <w:rsid w:val="2A5F4598"/>
    <w:rsid w:val="2A81515B"/>
    <w:rsid w:val="2AF50EB8"/>
    <w:rsid w:val="2B1C6CE5"/>
    <w:rsid w:val="2B232795"/>
    <w:rsid w:val="2B266D02"/>
    <w:rsid w:val="2B6640B7"/>
    <w:rsid w:val="2B7A732A"/>
    <w:rsid w:val="2BAE1A1A"/>
    <w:rsid w:val="2BCE1411"/>
    <w:rsid w:val="2BD14EA2"/>
    <w:rsid w:val="2BD4628F"/>
    <w:rsid w:val="2BE41892"/>
    <w:rsid w:val="2C1A452A"/>
    <w:rsid w:val="2C1F3B5E"/>
    <w:rsid w:val="2C331117"/>
    <w:rsid w:val="2CE835EB"/>
    <w:rsid w:val="2D232D2C"/>
    <w:rsid w:val="2D3230D9"/>
    <w:rsid w:val="2DCF2102"/>
    <w:rsid w:val="2E2421B7"/>
    <w:rsid w:val="2E3A2ED9"/>
    <w:rsid w:val="2EA27B5C"/>
    <w:rsid w:val="2EBA0E8F"/>
    <w:rsid w:val="2F756260"/>
    <w:rsid w:val="2FB900E7"/>
    <w:rsid w:val="30727988"/>
    <w:rsid w:val="30D96F7E"/>
    <w:rsid w:val="3188299A"/>
    <w:rsid w:val="31D24FBD"/>
    <w:rsid w:val="32034B77"/>
    <w:rsid w:val="321B7120"/>
    <w:rsid w:val="324155EB"/>
    <w:rsid w:val="32425283"/>
    <w:rsid w:val="325219BD"/>
    <w:rsid w:val="326D308A"/>
    <w:rsid w:val="32944EF5"/>
    <w:rsid w:val="32EB4294"/>
    <w:rsid w:val="32FF4514"/>
    <w:rsid w:val="33285762"/>
    <w:rsid w:val="33560C4E"/>
    <w:rsid w:val="336C30F0"/>
    <w:rsid w:val="33896EE1"/>
    <w:rsid w:val="33DB51BC"/>
    <w:rsid w:val="33E46441"/>
    <w:rsid w:val="33ED4621"/>
    <w:rsid w:val="33EE7AC2"/>
    <w:rsid w:val="33F375BE"/>
    <w:rsid w:val="34AB3F02"/>
    <w:rsid w:val="34AD2EDF"/>
    <w:rsid w:val="34C41A90"/>
    <w:rsid w:val="35251939"/>
    <w:rsid w:val="35422152"/>
    <w:rsid w:val="354B05B2"/>
    <w:rsid w:val="357E334E"/>
    <w:rsid w:val="35AD6B12"/>
    <w:rsid w:val="35C36ADF"/>
    <w:rsid w:val="35C970B4"/>
    <w:rsid w:val="366367AF"/>
    <w:rsid w:val="367916A1"/>
    <w:rsid w:val="368F54D7"/>
    <w:rsid w:val="36FF4D06"/>
    <w:rsid w:val="3705424C"/>
    <w:rsid w:val="372E1EF2"/>
    <w:rsid w:val="37B27395"/>
    <w:rsid w:val="37DF6DD8"/>
    <w:rsid w:val="3873150B"/>
    <w:rsid w:val="38DA2EDD"/>
    <w:rsid w:val="3916064B"/>
    <w:rsid w:val="393A6A35"/>
    <w:rsid w:val="39411112"/>
    <w:rsid w:val="39486C84"/>
    <w:rsid w:val="39514520"/>
    <w:rsid w:val="397243FC"/>
    <w:rsid w:val="39B35756"/>
    <w:rsid w:val="39C758A2"/>
    <w:rsid w:val="3A2034A9"/>
    <w:rsid w:val="3A6E2B00"/>
    <w:rsid w:val="3A8D2973"/>
    <w:rsid w:val="3AB66FDC"/>
    <w:rsid w:val="3AB9554A"/>
    <w:rsid w:val="3AC83212"/>
    <w:rsid w:val="3ACE3D54"/>
    <w:rsid w:val="3AD6416B"/>
    <w:rsid w:val="3B5E47DD"/>
    <w:rsid w:val="3B611031"/>
    <w:rsid w:val="3B864AA2"/>
    <w:rsid w:val="3B8A15B9"/>
    <w:rsid w:val="3B902C7F"/>
    <w:rsid w:val="3BE97B98"/>
    <w:rsid w:val="3C144F11"/>
    <w:rsid w:val="3C2E43F0"/>
    <w:rsid w:val="3C936CD5"/>
    <w:rsid w:val="3C9441B3"/>
    <w:rsid w:val="3CB7573A"/>
    <w:rsid w:val="3CBA2ADF"/>
    <w:rsid w:val="3D306C1D"/>
    <w:rsid w:val="3D5E7860"/>
    <w:rsid w:val="3D712971"/>
    <w:rsid w:val="3D8047D2"/>
    <w:rsid w:val="3F5509AB"/>
    <w:rsid w:val="3F6F2F81"/>
    <w:rsid w:val="3FA05FBD"/>
    <w:rsid w:val="3FC64B65"/>
    <w:rsid w:val="3FD51A5D"/>
    <w:rsid w:val="403C1122"/>
    <w:rsid w:val="40410D23"/>
    <w:rsid w:val="40460A7C"/>
    <w:rsid w:val="404D5963"/>
    <w:rsid w:val="407463E7"/>
    <w:rsid w:val="409C3433"/>
    <w:rsid w:val="410B49B5"/>
    <w:rsid w:val="41102B1A"/>
    <w:rsid w:val="411E3680"/>
    <w:rsid w:val="41275DCB"/>
    <w:rsid w:val="41720AA9"/>
    <w:rsid w:val="41C00111"/>
    <w:rsid w:val="427C0ADB"/>
    <w:rsid w:val="42A55D5D"/>
    <w:rsid w:val="42BB3A72"/>
    <w:rsid w:val="42DA60A2"/>
    <w:rsid w:val="434B2F12"/>
    <w:rsid w:val="43754D8C"/>
    <w:rsid w:val="43E07AAC"/>
    <w:rsid w:val="447B7A9E"/>
    <w:rsid w:val="44B1516F"/>
    <w:rsid w:val="44B75DF7"/>
    <w:rsid w:val="44C93969"/>
    <w:rsid w:val="450A60D4"/>
    <w:rsid w:val="45830997"/>
    <w:rsid w:val="45872F56"/>
    <w:rsid w:val="459D6EE3"/>
    <w:rsid w:val="459E4BE1"/>
    <w:rsid w:val="45DD7344"/>
    <w:rsid w:val="460F14C8"/>
    <w:rsid w:val="46427F82"/>
    <w:rsid w:val="465F1BD5"/>
    <w:rsid w:val="47224B4B"/>
    <w:rsid w:val="47481D27"/>
    <w:rsid w:val="48054931"/>
    <w:rsid w:val="480B65B7"/>
    <w:rsid w:val="484216E1"/>
    <w:rsid w:val="485202B6"/>
    <w:rsid w:val="485365A7"/>
    <w:rsid w:val="48641D5A"/>
    <w:rsid w:val="491D7AEF"/>
    <w:rsid w:val="499A59D1"/>
    <w:rsid w:val="49A66366"/>
    <w:rsid w:val="49AB2A1D"/>
    <w:rsid w:val="4A113A61"/>
    <w:rsid w:val="4A6D291A"/>
    <w:rsid w:val="4A9D3546"/>
    <w:rsid w:val="4BC92186"/>
    <w:rsid w:val="4BCA16C9"/>
    <w:rsid w:val="4BDB3A60"/>
    <w:rsid w:val="4C2A0FE9"/>
    <w:rsid w:val="4C5021F0"/>
    <w:rsid w:val="4C552698"/>
    <w:rsid w:val="4C812FC3"/>
    <w:rsid w:val="4CA24E44"/>
    <w:rsid w:val="4CEC1868"/>
    <w:rsid w:val="4CFD3D44"/>
    <w:rsid w:val="4D2311A8"/>
    <w:rsid w:val="4D35284A"/>
    <w:rsid w:val="4D7430C7"/>
    <w:rsid w:val="4DBC145E"/>
    <w:rsid w:val="4E7716E5"/>
    <w:rsid w:val="4E7F57F7"/>
    <w:rsid w:val="4F1A6828"/>
    <w:rsid w:val="4F28674E"/>
    <w:rsid w:val="4F2D3431"/>
    <w:rsid w:val="4F312FB8"/>
    <w:rsid w:val="4F3E697A"/>
    <w:rsid w:val="4F6F5D60"/>
    <w:rsid w:val="4F884750"/>
    <w:rsid w:val="4F9E2731"/>
    <w:rsid w:val="4FB31849"/>
    <w:rsid w:val="4FBD1D08"/>
    <w:rsid w:val="505C62F6"/>
    <w:rsid w:val="505F18CF"/>
    <w:rsid w:val="509E4461"/>
    <w:rsid w:val="51016294"/>
    <w:rsid w:val="51341301"/>
    <w:rsid w:val="514C6226"/>
    <w:rsid w:val="516D33FB"/>
    <w:rsid w:val="51716B10"/>
    <w:rsid w:val="518717BE"/>
    <w:rsid w:val="519C7F9E"/>
    <w:rsid w:val="51B216FA"/>
    <w:rsid w:val="52260C02"/>
    <w:rsid w:val="52373A89"/>
    <w:rsid w:val="52A9519F"/>
    <w:rsid w:val="52C546BC"/>
    <w:rsid w:val="52EB137C"/>
    <w:rsid w:val="53187AF8"/>
    <w:rsid w:val="532B591C"/>
    <w:rsid w:val="533D5BF2"/>
    <w:rsid w:val="53637F9D"/>
    <w:rsid w:val="53E72B3E"/>
    <w:rsid w:val="53F75C76"/>
    <w:rsid w:val="5442710A"/>
    <w:rsid w:val="548E315E"/>
    <w:rsid w:val="54B17B40"/>
    <w:rsid w:val="54B47EF2"/>
    <w:rsid w:val="54D664A4"/>
    <w:rsid w:val="54E0637C"/>
    <w:rsid w:val="54E64BD8"/>
    <w:rsid w:val="54F51DF3"/>
    <w:rsid w:val="553F4506"/>
    <w:rsid w:val="555522C9"/>
    <w:rsid w:val="55A9215F"/>
    <w:rsid w:val="55BA4C10"/>
    <w:rsid w:val="55DE29C4"/>
    <w:rsid w:val="55EA564D"/>
    <w:rsid w:val="561641AD"/>
    <w:rsid w:val="562F7D6D"/>
    <w:rsid w:val="563C5D15"/>
    <w:rsid w:val="56DA342C"/>
    <w:rsid w:val="572D25EE"/>
    <w:rsid w:val="574E5F70"/>
    <w:rsid w:val="575B09FF"/>
    <w:rsid w:val="57A6123A"/>
    <w:rsid w:val="57BB4D91"/>
    <w:rsid w:val="57E10AF7"/>
    <w:rsid w:val="57E17C4B"/>
    <w:rsid w:val="58085EF2"/>
    <w:rsid w:val="58086897"/>
    <w:rsid w:val="580C519F"/>
    <w:rsid w:val="58697D06"/>
    <w:rsid w:val="5893474D"/>
    <w:rsid w:val="58CF5272"/>
    <w:rsid w:val="58E6752F"/>
    <w:rsid w:val="591A24CC"/>
    <w:rsid w:val="59BC22E7"/>
    <w:rsid w:val="59D17B7F"/>
    <w:rsid w:val="59F42B6D"/>
    <w:rsid w:val="5A154E8C"/>
    <w:rsid w:val="5AA97D1A"/>
    <w:rsid w:val="5AF04EDA"/>
    <w:rsid w:val="5AF54C47"/>
    <w:rsid w:val="5B5B7958"/>
    <w:rsid w:val="5B6D0817"/>
    <w:rsid w:val="5B80068D"/>
    <w:rsid w:val="5BA40B5E"/>
    <w:rsid w:val="5BB705C8"/>
    <w:rsid w:val="5BD74DE3"/>
    <w:rsid w:val="5BE6644A"/>
    <w:rsid w:val="5C0458D6"/>
    <w:rsid w:val="5C2C66E3"/>
    <w:rsid w:val="5C7A0386"/>
    <w:rsid w:val="5CA8355D"/>
    <w:rsid w:val="5CB542D1"/>
    <w:rsid w:val="5CBA2C88"/>
    <w:rsid w:val="5CBD070D"/>
    <w:rsid w:val="5CC22998"/>
    <w:rsid w:val="5D254A36"/>
    <w:rsid w:val="5D4C017A"/>
    <w:rsid w:val="5D5D2307"/>
    <w:rsid w:val="5DA305F0"/>
    <w:rsid w:val="5E313313"/>
    <w:rsid w:val="5E3E6996"/>
    <w:rsid w:val="5EA9288D"/>
    <w:rsid w:val="5EB5719B"/>
    <w:rsid w:val="5EC46C20"/>
    <w:rsid w:val="5EC81BD3"/>
    <w:rsid w:val="5EDE351B"/>
    <w:rsid w:val="5F377BAF"/>
    <w:rsid w:val="5F3834E7"/>
    <w:rsid w:val="5F49671D"/>
    <w:rsid w:val="5F9C12E9"/>
    <w:rsid w:val="5FD9062D"/>
    <w:rsid w:val="6003160B"/>
    <w:rsid w:val="602B54C9"/>
    <w:rsid w:val="604C483F"/>
    <w:rsid w:val="609C47BB"/>
    <w:rsid w:val="60D06640"/>
    <w:rsid w:val="61160569"/>
    <w:rsid w:val="61272BAC"/>
    <w:rsid w:val="61F806DA"/>
    <w:rsid w:val="62886ED7"/>
    <w:rsid w:val="62B618E2"/>
    <w:rsid w:val="631471F8"/>
    <w:rsid w:val="63373B3E"/>
    <w:rsid w:val="63D27EAE"/>
    <w:rsid w:val="640120FC"/>
    <w:rsid w:val="643406D0"/>
    <w:rsid w:val="64652FD2"/>
    <w:rsid w:val="64765C18"/>
    <w:rsid w:val="64D601A7"/>
    <w:rsid w:val="65773D84"/>
    <w:rsid w:val="65776DD5"/>
    <w:rsid w:val="659342C7"/>
    <w:rsid w:val="65B463A2"/>
    <w:rsid w:val="65C034A3"/>
    <w:rsid w:val="660340CC"/>
    <w:rsid w:val="66105918"/>
    <w:rsid w:val="66494CB0"/>
    <w:rsid w:val="66A25B1E"/>
    <w:rsid w:val="66A350B1"/>
    <w:rsid w:val="66A56E0F"/>
    <w:rsid w:val="66A8375B"/>
    <w:rsid w:val="66BB2A88"/>
    <w:rsid w:val="67221DE4"/>
    <w:rsid w:val="6742122D"/>
    <w:rsid w:val="676D0BA4"/>
    <w:rsid w:val="679F2E81"/>
    <w:rsid w:val="67AF24D4"/>
    <w:rsid w:val="67BA47ED"/>
    <w:rsid w:val="67C25435"/>
    <w:rsid w:val="683F0AC7"/>
    <w:rsid w:val="686C69BE"/>
    <w:rsid w:val="68AE7FD4"/>
    <w:rsid w:val="69506E2F"/>
    <w:rsid w:val="695C7391"/>
    <w:rsid w:val="699D274A"/>
    <w:rsid w:val="69A311FA"/>
    <w:rsid w:val="6A375D86"/>
    <w:rsid w:val="6A79314E"/>
    <w:rsid w:val="6B0C5920"/>
    <w:rsid w:val="6B1C5EE7"/>
    <w:rsid w:val="6B472009"/>
    <w:rsid w:val="6B803313"/>
    <w:rsid w:val="6B900416"/>
    <w:rsid w:val="6BAF12FB"/>
    <w:rsid w:val="6BCA6569"/>
    <w:rsid w:val="6C4F67D7"/>
    <w:rsid w:val="6C8E10B3"/>
    <w:rsid w:val="6C9D65B1"/>
    <w:rsid w:val="6CAE47AC"/>
    <w:rsid w:val="6CD46DCE"/>
    <w:rsid w:val="6CEB3136"/>
    <w:rsid w:val="6CF47A5B"/>
    <w:rsid w:val="6D1145BA"/>
    <w:rsid w:val="6D4F3938"/>
    <w:rsid w:val="6DBC4EA3"/>
    <w:rsid w:val="6DD417BD"/>
    <w:rsid w:val="6DD45CFF"/>
    <w:rsid w:val="6DE00D33"/>
    <w:rsid w:val="6E644343"/>
    <w:rsid w:val="6E9B7B77"/>
    <w:rsid w:val="6EB630B6"/>
    <w:rsid w:val="6EC54C19"/>
    <w:rsid w:val="6F967736"/>
    <w:rsid w:val="6FA115ED"/>
    <w:rsid w:val="6FB54504"/>
    <w:rsid w:val="70046706"/>
    <w:rsid w:val="7013074B"/>
    <w:rsid w:val="70364719"/>
    <w:rsid w:val="70471041"/>
    <w:rsid w:val="7048068F"/>
    <w:rsid w:val="706F1535"/>
    <w:rsid w:val="70AE402F"/>
    <w:rsid w:val="70DB557F"/>
    <w:rsid w:val="70E21CCE"/>
    <w:rsid w:val="70FE1C5B"/>
    <w:rsid w:val="712229A3"/>
    <w:rsid w:val="712D69E2"/>
    <w:rsid w:val="71472EB0"/>
    <w:rsid w:val="71560505"/>
    <w:rsid w:val="715C6450"/>
    <w:rsid w:val="718D2089"/>
    <w:rsid w:val="71914721"/>
    <w:rsid w:val="71991C90"/>
    <w:rsid w:val="71FF6C1C"/>
    <w:rsid w:val="724B27F4"/>
    <w:rsid w:val="72512C47"/>
    <w:rsid w:val="727D0875"/>
    <w:rsid w:val="72C5093B"/>
    <w:rsid w:val="72E811FD"/>
    <w:rsid w:val="73143A7E"/>
    <w:rsid w:val="733023B8"/>
    <w:rsid w:val="73A20E56"/>
    <w:rsid w:val="73AC4C34"/>
    <w:rsid w:val="74242401"/>
    <w:rsid w:val="748163C9"/>
    <w:rsid w:val="74E9195A"/>
    <w:rsid w:val="75273889"/>
    <w:rsid w:val="752D7EF3"/>
    <w:rsid w:val="75AE1917"/>
    <w:rsid w:val="76766876"/>
    <w:rsid w:val="769028AE"/>
    <w:rsid w:val="76D96FA2"/>
    <w:rsid w:val="76FE50D2"/>
    <w:rsid w:val="77013441"/>
    <w:rsid w:val="771E608D"/>
    <w:rsid w:val="77BC593F"/>
    <w:rsid w:val="77E268AF"/>
    <w:rsid w:val="780C3512"/>
    <w:rsid w:val="78132553"/>
    <w:rsid w:val="78246E3F"/>
    <w:rsid w:val="783D0D34"/>
    <w:rsid w:val="78683652"/>
    <w:rsid w:val="7908792E"/>
    <w:rsid w:val="79746CF0"/>
    <w:rsid w:val="79B22A21"/>
    <w:rsid w:val="79BA49EA"/>
    <w:rsid w:val="7A050D4D"/>
    <w:rsid w:val="7A1D6CC4"/>
    <w:rsid w:val="7AB07021"/>
    <w:rsid w:val="7B136D89"/>
    <w:rsid w:val="7B354232"/>
    <w:rsid w:val="7B981AF6"/>
    <w:rsid w:val="7C45610B"/>
    <w:rsid w:val="7C457D7A"/>
    <w:rsid w:val="7C6C5B29"/>
    <w:rsid w:val="7C9037DD"/>
    <w:rsid w:val="7CBD6589"/>
    <w:rsid w:val="7CC47411"/>
    <w:rsid w:val="7CDB3F3E"/>
    <w:rsid w:val="7D493FA7"/>
    <w:rsid w:val="7D525FEB"/>
    <w:rsid w:val="7D5E61AD"/>
    <w:rsid w:val="7DE563D9"/>
    <w:rsid w:val="7E0D5D1E"/>
    <w:rsid w:val="7E4B348E"/>
    <w:rsid w:val="7E4B65B9"/>
    <w:rsid w:val="7EB33BDF"/>
    <w:rsid w:val="7F175CF8"/>
    <w:rsid w:val="7F7779B1"/>
    <w:rsid w:val="7F784B1E"/>
    <w:rsid w:val="7FA11E6D"/>
    <w:rsid w:val="D7349F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autoRedefine/>
    <w:qFormat/>
    <w:uiPriority w:val="0"/>
    <w:pPr>
      <w:keepNext/>
      <w:keepLines/>
      <w:spacing w:before="120" w:after="120"/>
      <w:outlineLvl w:val="0"/>
    </w:pPr>
    <w:rPr>
      <w:rFonts w:eastAsia="黑体"/>
      <w:kern w:val="36"/>
      <w:sz w:val="36"/>
    </w:rPr>
  </w:style>
  <w:style w:type="paragraph" w:styleId="5">
    <w:name w:val="heading 2"/>
    <w:basedOn w:val="1"/>
    <w:next w:val="6"/>
    <w:link w:val="28"/>
    <w:autoRedefine/>
    <w:qFormat/>
    <w:uiPriority w:val="0"/>
    <w:pPr>
      <w:adjustRightInd w:val="0"/>
      <w:spacing w:before="60" w:after="60"/>
      <w:outlineLvl w:val="1"/>
    </w:pPr>
    <w:rPr>
      <w:rFonts w:ascii="Arial" w:hAnsi="Arial" w:eastAsia="黑体"/>
    </w:rPr>
  </w:style>
  <w:style w:type="paragraph" w:styleId="7">
    <w:name w:val="heading 3"/>
    <w:basedOn w:val="1"/>
    <w:next w:val="6"/>
    <w:link w:val="29"/>
    <w:autoRedefine/>
    <w:qFormat/>
    <w:uiPriority w:val="0"/>
    <w:pPr>
      <w:adjustRightInd w:val="0"/>
      <w:spacing w:before="60" w:after="60"/>
      <w:outlineLvl w:val="2"/>
    </w:pPr>
    <w:rPr>
      <w:b/>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6">
    <w:name w:val="Normal Indent"/>
    <w:basedOn w:val="1"/>
    <w:autoRedefine/>
    <w:semiHidden/>
    <w:unhideWhenUsed/>
    <w:qFormat/>
    <w:uiPriority w:val="99"/>
    <w:pPr>
      <w:ind w:firstLine="420" w:firstLineChars="200"/>
    </w:pPr>
  </w:style>
  <w:style w:type="paragraph" w:styleId="8">
    <w:name w:val="annotation text"/>
    <w:basedOn w:val="1"/>
    <w:link w:val="61"/>
    <w:autoRedefine/>
    <w:semiHidden/>
    <w:unhideWhenUsed/>
    <w:qFormat/>
    <w:uiPriority w:val="99"/>
    <w:pPr>
      <w:jc w:val="left"/>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33"/>
    <w:autoRedefine/>
    <w:unhideWhenUsed/>
    <w:qFormat/>
    <w:uiPriority w:val="99"/>
    <w:pPr>
      <w:tabs>
        <w:tab w:val="center" w:pos="4153"/>
        <w:tab w:val="right" w:pos="8306"/>
      </w:tabs>
      <w:snapToGrid w:val="0"/>
      <w:jc w:val="left"/>
    </w:pPr>
    <w:rPr>
      <w:sz w:val="18"/>
      <w:szCs w:val="18"/>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annotation subject"/>
    <w:basedOn w:val="8"/>
    <w:next w:val="8"/>
    <w:link w:val="62"/>
    <w:autoRedefine/>
    <w:semiHidden/>
    <w:unhideWhenUsed/>
    <w:qFormat/>
    <w:uiPriority w:val="99"/>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FollowedHyperlink"/>
    <w:autoRedefine/>
    <w:qFormat/>
    <w:uiPriority w:val="0"/>
    <w:rPr>
      <w:color w:val="5576A1"/>
      <w:u w:val="none"/>
    </w:rPr>
  </w:style>
  <w:style w:type="character" w:styleId="19">
    <w:name w:val="Emphasis"/>
    <w:autoRedefine/>
    <w:qFormat/>
    <w:uiPriority w:val="0"/>
    <w:rPr>
      <w:u w:val="none"/>
    </w:rPr>
  </w:style>
  <w:style w:type="character" w:styleId="20">
    <w:name w:val="HTML Definition"/>
    <w:autoRedefine/>
    <w:qFormat/>
    <w:uiPriority w:val="0"/>
  </w:style>
  <w:style w:type="character" w:styleId="21">
    <w:name w:val="HTML Acronym"/>
    <w:basedOn w:val="16"/>
    <w:autoRedefine/>
    <w:qFormat/>
    <w:uiPriority w:val="0"/>
  </w:style>
  <w:style w:type="character" w:styleId="22">
    <w:name w:val="HTML Variable"/>
    <w:autoRedefine/>
    <w:qFormat/>
    <w:uiPriority w:val="0"/>
  </w:style>
  <w:style w:type="character" w:styleId="23">
    <w:name w:val="Hyperlink"/>
    <w:autoRedefine/>
    <w:qFormat/>
    <w:uiPriority w:val="0"/>
    <w:rPr>
      <w:color w:val="5576A1"/>
      <w:u w:val="none"/>
    </w:rPr>
  </w:style>
  <w:style w:type="character" w:styleId="24">
    <w:name w:val="HTML Code"/>
    <w:autoRedefine/>
    <w:qFormat/>
    <w:uiPriority w:val="0"/>
    <w:rPr>
      <w:rFonts w:ascii="Courier New" w:hAnsi="Courier New"/>
      <w:sz w:val="20"/>
    </w:rPr>
  </w:style>
  <w:style w:type="character" w:styleId="25">
    <w:name w:val="annotation reference"/>
    <w:basedOn w:val="16"/>
    <w:autoRedefine/>
    <w:semiHidden/>
    <w:unhideWhenUsed/>
    <w:qFormat/>
    <w:uiPriority w:val="99"/>
    <w:rPr>
      <w:sz w:val="21"/>
      <w:szCs w:val="21"/>
    </w:rPr>
  </w:style>
  <w:style w:type="character" w:styleId="26">
    <w:name w:val="HTML Cite"/>
    <w:autoRedefine/>
    <w:qFormat/>
    <w:uiPriority w:val="0"/>
  </w:style>
  <w:style w:type="character" w:customStyle="1" w:styleId="27">
    <w:name w:val="标题 1 Char"/>
    <w:basedOn w:val="16"/>
    <w:link w:val="4"/>
    <w:autoRedefine/>
    <w:qFormat/>
    <w:uiPriority w:val="0"/>
    <w:rPr>
      <w:rFonts w:eastAsia="黑体"/>
      <w:kern w:val="36"/>
      <w:sz w:val="36"/>
    </w:rPr>
  </w:style>
  <w:style w:type="character" w:customStyle="1" w:styleId="28">
    <w:name w:val="标题 2 Char"/>
    <w:basedOn w:val="16"/>
    <w:link w:val="5"/>
    <w:autoRedefine/>
    <w:qFormat/>
    <w:uiPriority w:val="0"/>
    <w:rPr>
      <w:rFonts w:ascii="Arial" w:hAnsi="Arial" w:eastAsia="黑体"/>
      <w:kern w:val="2"/>
      <w:sz w:val="32"/>
    </w:rPr>
  </w:style>
  <w:style w:type="character" w:customStyle="1" w:styleId="29">
    <w:name w:val="标题 3 Char"/>
    <w:basedOn w:val="16"/>
    <w:link w:val="7"/>
    <w:autoRedefine/>
    <w:qFormat/>
    <w:uiPriority w:val="0"/>
    <w:rPr>
      <w:rFonts w:eastAsia="仿宋_GB2312"/>
      <w:b/>
      <w:kern w:val="2"/>
      <w:sz w:val="32"/>
    </w:rPr>
  </w:style>
  <w:style w:type="paragraph" w:styleId="30">
    <w:name w:val="List Paragraph"/>
    <w:basedOn w:val="1"/>
    <w:autoRedefine/>
    <w:qFormat/>
    <w:uiPriority w:val="34"/>
    <w:pPr>
      <w:ind w:firstLine="420" w:firstLineChars="200"/>
    </w:pPr>
  </w:style>
  <w:style w:type="character" w:customStyle="1" w:styleId="31">
    <w:name w:val="批注框文本 Char"/>
    <w:basedOn w:val="16"/>
    <w:link w:val="9"/>
    <w:autoRedefine/>
    <w:semiHidden/>
    <w:qFormat/>
    <w:uiPriority w:val="99"/>
    <w:rPr>
      <w:kern w:val="2"/>
      <w:sz w:val="18"/>
      <w:szCs w:val="18"/>
    </w:rPr>
  </w:style>
  <w:style w:type="character" w:customStyle="1" w:styleId="32">
    <w:name w:val="页眉 Char"/>
    <w:basedOn w:val="16"/>
    <w:link w:val="11"/>
    <w:autoRedefine/>
    <w:qFormat/>
    <w:uiPriority w:val="99"/>
    <w:rPr>
      <w:kern w:val="2"/>
      <w:sz w:val="18"/>
      <w:szCs w:val="18"/>
    </w:rPr>
  </w:style>
  <w:style w:type="character" w:customStyle="1" w:styleId="33">
    <w:name w:val="页脚 Char"/>
    <w:basedOn w:val="16"/>
    <w:link w:val="10"/>
    <w:autoRedefine/>
    <w:qFormat/>
    <w:uiPriority w:val="99"/>
    <w:rPr>
      <w:kern w:val="2"/>
      <w:sz w:val="18"/>
      <w:szCs w:val="18"/>
    </w:rPr>
  </w:style>
  <w:style w:type="character" w:customStyle="1" w:styleId="34">
    <w:name w:val="bsharetext"/>
    <w:basedOn w:val="16"/>
    <w:autoRedefine/>
    <w:qFormat/>
    <w:uiPriority w:val="0"/>
  </w:style>
  <w:style w:type="character" w:customStyle="1" w:styleId="35">
    <w:name w:val="hover33"/>
    <w:autoRedefine/>
    <w:qFormat/>
    <w:uiPriority w:val="0"/>
    <w:rPr>
      <w:color w:val="3EAF0E"/>
    </w:rPr>
  </w:style>
  <w:style w:type="character" w:customStyle="1" w:styleId="36">
    <w:name w:val="l-btn-left3"/>
    <w:basedOn w:val="16"/>
    <w:autoRedefine/>
    <w:qFormat/>
    <w:uiPriority w:val="0"/>
  </w:style>
  <w:style w:type="character" w:customStyle="1" w:styleId="37">
    <w:name w:val="pubdate-day"/>
    <w:autoRedefine/>
    <w:qFormat/>
    <w:uiPriority w:val="0"/>
    <w:rPr>
      <w:shd w:val="clear" w:color="auto" w:fill="F2F2F2"/>
    </w:rPr>
  </w:style>
  <w:style w:type="character" w:customStyle="1" w:styleId="38">
    <w:name w:val="l-btn-icon-right"/>
    <w:basedOn w:val="16"/>
    <w:autoRedefine/>
    <w:qFormat/>
    <w:uiPriority w:val="0"/>
  </w:style>
  <w:style w:type="character" w:customStyle="1" w:styleId="39">
    <w:name w:val="l-btn-empty"/>
    <w:basedOn w:val="16"/>
    <w:autoRedefine/>
    <w:qFormat/>
    <w:uiPriority w:val="0"/>
  </w:style>
  <w:style w:type="character" w:customStyle="1" w:styleId="40">
    <w:name w:val="l-btn-left4"/>
    <w:basedOn w:val="16"/>
    <w:autoRedefine/>
    <w:qFormat/>
    <w:uiPriority w:val="0"/>
  </w:style>
  <w:style w:type="character" w:customStyle="1" w:styleId="41">
    <w:name w:val="l-btn-icon-left"/>
    <w:basedOn w:val="16"/>
    <w:autoRedefine/>
    <w:qFormat/>
    <w:uiPriority w:val="0"/>
  </w:style>
  <w:style w:type="character" w:customStyle="1" w:styleId="42">
    <w:name w:val="s1"/>
    <w:autoRedefine/>
    <w:qFormat/>
    <w:uiPriority w:val="0"/>
    <w:rPr>
      <w:color w:val="DDDDDD"/>
      <w:sz w:val="18"/>
      <w:szCs w:val="18"/>
    </w:rPr>
  </w:style>
  <w:style w:type="character" w:customStyle="1" w:styleId="43">
    <w:name w:val="mr-prof"/>
    <w:basedOn w:val="16"/>
    <w:autoRedefine/>
    <w:qFormat/>
    <w:uiPriority w:val="0"/>
  </w:style>
  <w:style w:type="character" w:customStyle="1" w:styleId="44">
    <w:name w:val="item-name1"/>
    <w:autoRedefine/>
    <w:qFormat/>
    <w:uiPriority w:val="0"/>
    <w:rPr>
      <w:u w:val="single"/>
    </w:rPr>
  </w:style>
  <w:style w:type="character" w:customStyle="1" w:styleId="45">
    <w:name w:val="item-name"/>
    <w:basedOn w:val="16"/>
    <w:autoRedefine/>
    <w:qFormat/>
    <w:uiPriority w:val="0"/>
  </w:style>
  <w:style w:type="character" w:customStyle="1" w:styleId="46">
    <w:name w:val="l-btn-left2"/>
    <w:basedOn w:val="16"/>
    <w:autoRedefine/>
    <w:qFormat/>
    <w:uiPriority w:val="0"/>
  </w:style>
  <w:style w:type="character" w:customStyle="1" w:styleId="47">
    <w:name w:val="item-name2"/>
    <w:basedOn w:val="16"/>
    <w:autoRedefine/>
    <w:qFormat/>
    <w:uiPriority w:val="0"/>
  </w:style>
  <w:style w:type="character" w:customStyle="1" w:styleId="48">
    <w:name w:val="pubdate-month"/>
    <w:autoRedefine/>
    <w:qFormat/>
    <w:uiPriority w:val="0"/>
    <w:rPr>
      <w:color w:val="FFFFFF"/>
      <w:sz w:val="24"/>
      <w:szCs w:val="24"/>
      <w:shd w:val="clear" w:color="auto" w:fill="CC0000"/>
    </w:rPr>
  </w:style>
  <w:style w:type="character" w:customStyle="1" w:styleId="49">
    <w:name w:val="l-btn-text"/>
    <w:autoRedefine/>
    <w:qFormat/>
    <w:uiPriority w:val="0"/>
    <w:rPr>
      <w:sz w:val="18"/>
      <w:szCs w:val="18"/>
      <w:vertAlign w:val="baseline"/>
    </w:rPr>
  </w:style>
  <w:style w:type="character" w:customStyle="1" w:styleId="50">
    <w:name w:val="l-btn-left5"/>
    <w:basedOn w:val="16"/>
    <w:autoRedefine/>
    <w:qFormat/>
    <w:uiPriority w:val="0"/>
  </w:style>
  <w:style w:type="character" w:customStyle="1" w:styleId="51">
    <w:name w:val="ue_t"/>
    <w:basedOn w:val="16"/>
    <w:autoRedefine/>
    <w:qFormat/>
    <w:uiPriority w:val="0"/>
  </w:style>
  <w:style w:type="character" w:customStyle="1" w:styleId="52">
    <w:name w:val="hover45"/>
    <w:basedOn w:val="16"/>
    <w:autoRedefine/>
    <w:qFormat/>
    <w:uiPriority w:val="0"/>
    <w:rPr>
      <w:color w:val="822D09"/>
    </w:rPr>
  </w:style>
  <w:style w:type="character" w:customStyle="1" w:styleId="53">
    <w:name w:val="hover46"/>
    <w:basedOn w:val="16"/>
    <w:autoRedefine/>
    <w:qFormat/>
    <w:uiPriority w:val="0"/>
    <w:rPr>
      <w:color w:val="FFFFFF"/>
    </w:rPr>
  </w:style>
  <w:style w:type="character" w:customStyle="1" w:styleId="54">
    <w:name w:val="hover47"/>
    <w:basedOn w:val="16"/>
    <w:autoRedefine/>
    <w:qFormat/>
    <w:uiPriority w:val="0"/>
    <w:rPr>
      <w:color w:val="FFFFFF"/>
    </w:rPr>
  </w:style>
  <w:style w:type="character" w:customStyle="1" w:styleId="55">
    <w:name w:val="hover48"/>
    <w:basedOn w:val="16"/>
    <w:autoRedefine/>
    <w:qFormat/>
    <w:uiPriority w:val="0"/>
    <w:rPr>
      <w:color w:val="FCFCFC"/>
    </w:rPr>
  </w:style>
  <w:style w:type="character" w:customStyle="1" w:styleId="56">
    <w:name w:val="hover49"/>
    <w:basedOn w:val="16"/>
    <w:autoRedefine/>
    <w:qFormat/>
    <w:uiPriority w:val="0"/>
    <w:rPr>
      <w:color w:val="FFFFFF"/>
    </w:rPr>
  </w:style>
  <w:style w:type="character" w:customStyle="1" w:styleId="57">
    <w:name w:val="hover50"/>
    <w:basedOn w:val="16"/>
    <w:autoRedefine/>
    <w:qFormat/>
    <w:uiPriority w:val="0"/>
    <w:rPr>
      <w:color w:val="FCFCFC"/>
    </w:rPr>
  </w:style>
  <w:style w:type="character" w:customStyle="1" w:styleId="58">
    <w:name w:val="hover51"/>
    <w:basedOn w:val="16"/>
    <w:autoRedefine/>
    <w:qFormat/>
    <w:uiPriority w:val="0"/>
    <w:rPr>
      <w:color w:val="FCFCFC"/>
    </w:rPr>
  </w:style>
  <w:style w:type="character" w:customStyle="1" w:styleId="59">
    <w:name w:val="hover52"/>
    <w:basedOn w:val="16"/>
    <w:autoRedefine/>
    <w:qFormat/>
    <w:uiPriority w:val="0"/>
    <w:rPr>
      <w:color w:val="FCFCFC"/>
    </w:rPr>
  </w:style>
  <w:style w:type="character" w:customStyle="1" w:styleId="60">
    <w:name w:val="xubox_tabnow"/>
    <w:basedOn w:val="16"/>
    <w:autoRedefine/>
    <w:qFormat/>
    <w:uiPriority w:val="0"/>
    <w:rPr>
      <w:bdr w:val="single" w:color="CCCCCC" w:sz="6" w:space="0"/>
      <w:shd w:val="clear" w:color="auto" w:fill="FFFFFF"/>
    </w:rPr>
  </w:style>
  <w:style w:type="character" w:customStyle="1" w:styleId="61">
    <w:name w:val="批注文字 Char"/>
    <w:basedOn w:val="16"/>
    <w:link w:val="8"/>
    <w:autoRedefine/>
    <w:semiHidden/>
    <w:qFormat/>
    <w:uiPriority w:val="99"/>
    <w:rPr>
      <w:kern w:val="2"/>
      <w:sz w:val="21"/>
      <w:szCs w:val="24"/>
    </w:rPr>
  </w:style>
  <w:style w:type="character" w:customStyle="1" w:styleId="62">
    <w:name w:val="批注主题 Char"/>
    <w:basedOn w:val="61"/>
    <w:link w:val="13"/>
    <w:autoRedefine/>
    <w:semiHidden/>
    <w:qFormat/>
    <w:uiPriority w:val="99"/>
    <w:rPr>
      <w:b/>
      <w:bCs/>
      <w:kern w:val="2"/>
      <w:sz w:val="21"/>
      <w:szCs w:val="24"/>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6">
    <w:name w:val="Body text|1"/>
    <w:basedOn w:val="1"/>
    <w:autoRedefine/>
    <w:qFormat/>
    <w:uiPriority w:val="0"/>
    <w:pPr>
      <w:spacing w:line="377"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C202-D30A-4DBA-A47E-E43BB1AB7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1439</Words>
  <Characters>8207</Characters>
  <Lines>68</Lines>
  <Paragraphs>19</Paragraphs>
  <TotalTime>144</TotalTime>
  <ScaleCrop>false</ScaleCrop>
  <LinksUpToDate>false</LinksUpToDate>
  <CharactersWithSpaces>9627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2022-06-24T02:36:00Z</dcterms:created>
  <dc:creator>金宏伟</dc:creator>
  <cp:lastModifiedBy>刘菁</cp:lastModifiedBy>
  <cp:lastPrinted>2024-04-22T02:03:00Z</cp:lastPrinted>
  <dcterms:modified xsi:type="dcterms:W3CDTF">2024-04-23T07:29:53Z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8782B0EBFC0C42719B4C3B58617C62EC</vt:lpwstr>
  </property>
</Properties>
</file>