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03" w:rsidRDefault="0013176B">
      <w:pPr>
        <w:pStyle w:val="p8"/>
        <w:widowControl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/>
          <w:sz w:val="44"/>
          <w:szCs w:val="44"/>
        </w:rPr>
        <w:t>高等继续教育特色案例数据采集表</w:t>
      </w:r>
    </w:p>
    <w:tbl>
      <w:tblPr>
        <w:tblW w:w="90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2730"/>
        <w:gridCol w:w="1760"/>
        <w:gridCol w:w="2980"/>
      </w:tblGrid>
      <w:tr w:rsidR="00F94C03">
        <w:tc>
          <w:tcPr>
            <w:tcW w:w="1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9"/>
              <w:widowControl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案例名称</w:t>
            </w:r>
          </w:p>
        </w:tc>
        <w:tc>
          <w:tcPr>
            <w:tcW w:w="2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7"/>
              <w:widowControl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“多元化一体式”职业院校专业教师培训模式探索与创新</w:t>
            </w:r>
          </w:p>
        </w:tc>
        <w:tc>
          <w:tcPr>
            <w:tcW w:w="1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9"/>
              <w:widowControl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起止时间</w:t>
            </w:r>
          </w:p>
        </w:tc>
        <w:tc>
          <w:tcPr>
            <w:tcW w:w="29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9"/>
              <w:widowControl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起始：</w:t>
            </w:r>
            <w:r>
              <w:rPr>
                <w:rFonts w:ascii="仿宋_GB2312" w:eastAsia="仿宋_GB2312" w:hAnsi="仿宋_GB2312" w:cs="仿宋_GB2312"/>
                <w:lang w:bidi="ar"/>
              </w:rPr>
              <w:t>2022</w:t>
            </w:r>
            <w:r>
              <w:rPr>
                <w:rFonts w:ascii="仿宋_GB2312" w:eastAsia="仿宋_GB2312" w:hAnsi="仿宋_GB2312" w:cs="仿宋_GB2312"/>
                <w:lang w:bidi="ar"/>
              </w:rPr>
              <w:t>年</w:t>
            </w:r>
            <w:r>
              <w:rPr>
                <w:rFonts w:ascii="仿宋_GB2312" w:eastAsia="仿宋_GB2312" w:hAnsi="仿宋_GB2312" w:cs="仿宋_GB2312"/>
                <w:lang w:bidi="ar"/>
              </w:rPr>
              <w:t>05</w:t>
            </w:r>
            <w:r>
              <w:rPr>
                <w:rFonts w:ascii="仿宋_GB2312" w:eastAsia="仿宋_GB2312" w:hAnsi="仿宋_GB2312" w:cs="仿宋_GB2312"/>
                <w:lang w:bidi="ar"/>
              </w:rPr>
              <w:t>月</w:t>
            </w:r>
          </w:p>
          <w:p w:rsidR="00F94C03" w:rsidRDefault="0013176B">
            <w:pPr>
              <w:pStyle w:val="p9"/>
              <w:widowControl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完成：</w:t>
            </w:r>
            <w:r>
              <w:rPr>
                <w:rFonts w:ascii="仿宋_GB2312" w:eastAsia="仿宋_GB2312" w:hAnsi="仿宋_GB2312" w:cs="仿宋_GB2312"/>
                <w:lang w:bidi="ar"/>
              </w:rPr>
              <w:t>2023</w:t>
            </w:r>
            <w:r>
              <w:rPr>
                <w:rFonts w:ascii="仿宋_GB2312" w:eastAsia="仿宋_GB2312" w:hAnsi="仿宋_GB2312" w:cs="仿宋_GB2312"/>
                <w:lang w:bidi="ar"/>
              </w:rPr>
              <w:t>年</w:t>
            </w:r>
            <w:r>
              <w:rPr>
                <w:rFonts w:ascii="仿宋_GB2312" w:eastAsia="仿宋_GB2312" w:hAnsi="仿宋_GB2312" w:cs="仿宋_GB2312"/>
                <w:lang w:bidi="ar"/>
              </w:rPr>
              <w:t>12</w:t>
            </w:r>
            <w:r>
              <w:rPr>
                <w:rFonts w:ascii="仿宋_GB2312" w:eastAsia="仿宋_GB2312" w:hAnsi="仿宋_GB2312" w:cs="仿宋_GB2312"/>
                <w:lang w:bidi="ar"/>
              </w:rPr>
              <w:t>月</w:t>
            </w:r>
          </w:p>
        </w:tc>
      </w:tr>
      <w:tr w:rsidR="00F94C03">
        <w:tc>
          <w:tcPr>
            <w:tcW w:w="1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9"/>
              <w:widowControl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案例归属</w:t>
            </w:r>
          </w:p>
        </w:tc>
        <w:tc>
          <w:tcPr>
            <w:tcW w:w="2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13"/>
              <w:widowControl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color w:val="auto"/>
                <w:lang w:bidi="ar"/>
              </w:rPr>
              <w:t>非学历教育</w:t>
            </w:r>
          </w:p>
        </w:tc>
        <w:tc>
          <w:tcPr>
            <w:tcW w:w="1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9"/>
              <w:widowControl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案例类别</w:t>
            </w:r>
          </w:p>
        </w:tc>
        <w:tc>
          <w:tcPr>
            <w:tcW w:w="29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13"/>
              <w:widowControl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color w:val="auto"/>
              </w:rPr>
              <w:t>教师发展</w:t>
            </w:r>
          </w:p>
        </w:tc>
      </w:tr>
      <w:tr w:rsidR="00F94C03">
        <w:tc>
          <w:tcPr>
            <w:tcW w:w="908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5"/>
              <w:widowControl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关键词（</w:t>
            </w:r>
            <w:r>
              <w:rPr>
                <w:rFonts w:ascii="仿宋_GB2312" w:eastAsia="仿宋_GB2312" w:hAnsi="仿宋_GB2312" w:cs="仿宋_GB2312"/>
                <w:lang w:bidi="ar"/>
              </w:rPr>
              <w:t>3-5</w:t>
            </w:r>
            <w:r>
              <w:rPr>
                <w:rFonts w:ascii="仿宋_GB2312" w:eastAsia="仿宋_GB2312" w:hAnsi="仿宋_GB2312" w:cs="仿宋_GB2312"/>
                <w:lang w:bidi="ar"/>
              </w:rPr>
              <w:t>个）：三教改革、师资培训、课程多元化、培训一体式、考核阶段化</w:t>
            </w:r>
          </w:p>
        </w:tc>
      </w:tr>
      <w:tr w:rsidR="00F94C03">
        <w:trPr>
          <w:trHeight w:val="3404"/>
        </w:trPr>
        <w:tc>
          <w:tcPr>
            <w:tcW w:w="908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5"/>
              <w:widowControl/>
              <w:numPr>
                <w:ilvl w:val="0"/>
                <w:numId w:val="1"/>
              </w:numPr>
              <w:ind w:firstLineChars="200" w:firstLine="482"/>
              <w:rPr>
                <w:rFonts w:ascii="仿宋_GB2312" w:eastAsia="仿宋_GB2312" w:hAnsi="仿宋_GB2312" w:cs="仿宋_GB2312" w:hint="default"/>
                <w:b/>
                <w:bCs/>
                <w:lang w:bidi="ar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案例概要</w:t>
            </w:r>
          </w:p>
          <w:p w:rsidR="00F94C03" w:rsidRDefault="0013176B">
            <w:pPr>
              <w:pStyle w:val="p5"/>
              <w:widowControl/>
              <w:ind w:firstLineChars="200" w:firstLine="480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金华职业技术学院是国家“双高计划”</w:t>
            </w:r>
            <w:r>
              <w:rPr>
                <w:rFonts w:ascii="仿宋_GB2312" w:eastAsia="仿宋_GB2312" w:hAnsi="仿宋_GB2312" w:cs="仿宋_GB2312"/>
                <w:lang w:bidi="ar"/>
              </w:rPr>
              <w:t>A</w:t>
            </w:r>
            <w:r>
              <w:rPr>
                <w:rFonts w:ascii="仿宋_GB2312" w:eastAsia="仿宋_GB2312" w:hAnsi="仿宋_GB2312" w:cs="仿宋_GB2312"/>
                <w:lang w:bidi="ar"/>
              </w:rPr>
              <w:t>档建设院校，近年来，依托校本特色、聚焦教师发展，面向全国职业院校专业教师开展了全方位、多专业的师资培训，积累了丰富的职业院校师资培训经验。学校紧贴“三教”改革趋势和职教教师发展核心需求，开创了“双线、三段、四环、五模、六块”的“多元化一体式”培训组织形式，形成了一套“课课衔接、层层递进、学学相长”专业教师培训模式，切实提升参训师的教育教学水平，帮助其快速成长为师德师风高尚、教学理念先进、学科知识前沿、教育教学风格鲜明、专业能力强劲的骨干教师。同时，学校通过承接全国职业院校</w:t>
            </w:r>
            <w:r>
              <w:rPr>
                <w:rFonts w:ascii="仿宋_GB2312" w:eastAsia="仿宋_GB2312" w:hAnsi="仿宋_GB2312" w:cs="仿宋_GB2312"/>
                <w:lang w:bidi="ar"/>
              </w:rPr>
              <w:t>教师发展培训项目，不断优化培训内容、创新培训方式、健全师资培训机制，开发了一批优质培训课程教学资源，总结了一套效果显著、可推广复制的培训模式，可为各地开展骨干教师培训提供典型示范和资源支撑。</w:t>
            </w:r>
          </w:p>
        </w:tc>
      </w:tr>
      <w:tr w:rsidR="00F94C03">
        <w:tc>
          <w:tcPr>
            <w:tcW w:w="908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5"/>
              <w:widowControl/>
              <w:ind w:firstLineChars="200" w:firstLine="482"/>
              <w:rPr>
                <w:rFonts w:ascii="仿宋_GB2312" w:eastAsia="仿宋_GB2312" w:hAnsi="仿宋_GB2312" w:cs="仿宋_GB2312" w:hint="default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2.1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解决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的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主要问题</w:t>
            </w:r>
          </w:p>
          <w:p w:rsidR="00F94C03" w:rsidRDefault="0013176B">
            <w:pPr>
              <w:pStyle w:val="p5"/>
              <w:widowControl/>
              <w:ind w:firstLineChars="200" w:firstLine="480"/>
              <w:rPr>
                <w:rFonts w:ascii="仿宋" w:eastAsia="仿宋" w:hAnsi="仿宋" w:cs="仿宋" w:hint="default"/>
              </w:rPr>
            </w:pPr>
            <w:r>
              <w:rPr>
                <w:rFonts w:ascii="仿宋" w:eastAsia="仿宋" w:hAnsi="仿宋" w:cs="仿宋"/>
                <w:lang w:bidi="ar"/>
              </w:rPr>
              <w:t>（</w:t>
            </w:r>
            <w:r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/>
              </w:rPr>
              <w:t>）培训单位缺乏系统的顶层设计，培训特色不鲜明重点不突出；（</w:t>
            </w:r>
            <w:r>
              <w:rPr>
                <w:rFonts w:ascii="仿宋" w:eastAsia="仿宋" w:hAnsi="仿宋" w:cs="仿宋"/>
              </w:rPr>
              <w:t>2</w:t>
            </w:r>
            <w:r>
              <w:rPr>
                <w:rFonts w:ascii="仿宋" w:eastAsia="仿宋" w:hAnsi="仿宋" w:cs="仿宋"/>
              </w:rPr>
              <w:t>）施训过程未围绕学员需求来采用行之有效的教学方式；（</w:t>
            </w:r>
            <w:r>
              <w:rPr>
                <w:rFonts w:ascii="仿宋" w:eastAsia="仿宋" w:hAnsi="仿宋" w:cs="仿宋"/>
              </w:rPr>
              <w:t>3</w:t>
            </w:r>
            <w:r>
              <w:rPr>
                <w:rFonts w:ascii="仿宋" w:eastAsia="仿宋" w:hAnsi="仿宋" w:cs="仿宋"/>
              </w:rPr>
              <w:t>）培训内容未基于核心能力提升进行一体化设计，课程体系呈现不清晰、内容散而杂；（</w:t>
            </w:r>
            <w:r>
              <w:rPr>
                <w:rFonts w:ascii="仿宋" w:eastAsia="仿宋" w:hAnsi="仿宋" w:cs="仿宋"/>
              </w:rPr>
              <w:t>4</w:t>
            </w:r>
            <w:r>
              <w:rPr>
                <w:rFonts w:ascii="仿宋" w:eastAsia="仿宋" w:hAnsi="仿宋" w:cs="仿宋"/>
              </w:rPr>
              <w:t>）考核形式单一，未真正反映出培训质量与培训成效。</w:t>
            </w:r>
          </w:p>
          <w:p w:rsidR="00F94C03" w:rsidRDefault="0013176B">
            <w:pPr>
              <w:pStyle w:val="p5"/>
              <w:widowControl/>
              <w:ind w:firstLineChars="200" w:firstLine="482"/>
              <w:rPr>
                <w:rFonts w:ascii="仿宋_GB2312" w:eastAsia="仿宋_GB2312" w:hAnsi="仿宋_GB2312" w:cs="仿宋_GB2312" w:hint="default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2.2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解决问题的过程与方法</w:t>
            </w:r>
          </w:p>
          <w:p w:rsidR="00F94C03" w:rsidRDefault="0013176B">
            <w:pPr>
              <w:pStyle w:val="p5"/>
              <w:widowControl/>
              <w:ind w:firstLineChars="200" w:firstLine="482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）瞄准目标与成效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契合度，学员需求“清单化”。</w:t>
            </w:r>
            <w:r>
              <w:rPr>
                <w:rFonts w:ascii="仿宋_GB2312" w:eastAsia="仿宋_GB2312" w:hAnsi="仿宋_GB2312" w:cs="仿宋_GB2312"/>
                <w:lang w:bidi="ar"/>
              </w:rPr>
              <w:t>在培训开始前，对培训学员的培训需求、职称构成、专业领域等进行调研分析，列出学员需求清单，优化制订“培训菜单”，确定政治素养、专业建设等“大”模块内容，再对课程进行细化调整，重点突出教学能力提升、产教融合、技术服务组织等“小”课程，让课程设置真正契合学员相应能力提升的需求。</w:t>
            </w:r>
          </w:p>
          <w:p w:rsidR="00F94C03" w:rsidRDefault="0013176B">
            <w:pPr>
              <w:pStyle w:val="p5"/>
              <w:widowControl/>
              <w:ind w:firstLineChars="200" w:firstLine="480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114300" distR="114300">
                  <wp:extent cx="4177030" cy="1918970"/>
                  <wp:effectExtent l="0" t="0" r="139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7030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C03" w:rsidRDefault="0013176B">
            <w:pPr>
              <w:pStyle w:val="p5"/>
              <w:widowControl/>
              <w:ind w:firstLineChars="200" w:firstLine="360"/>
              <w:jc w:val="center"/>
              <w:rPr>
                <w:rFonts w:ascii="宋体" w:eastAsia="宋体" w:hAnsi="宋体" w:hint="default"/>
                <w:kern w:val="24"/>
                <w:sz w:val="18"/>
                <w:szCs w:val="18"/>
              </w:rPr>
            </w:pPr>
            <w:r>
              <w:rPr>
                <w:rFonts w:ascii="宋体" w:eastAsia="宋体" w:hAnsi="宋体"/>
                <w:kern w:val="24"/>
                <w:sz w:val="18"/>
                <w:szCs w:val="18"/>
              </w:rPr>
              <w:t>图</w:t>
            </w:r>
            <w:r>
              <w:rPr>
                <w:rFonts w:ascii="宋体" w:eastAsia="宋体" w:hAnsi="宋体"/>
                <w:kern w:val="24"/>
                <w:sz w:val="18"/>
                <w:szCs w:val="18"/>
              </w:rPr>
              <w:t xml:space="preserve">1 </w:t>
            </w:r>
            <w:r>
              <w:rPr>
                <w:rFonts w:ascii="宋体" w:eastAsia="宋体" w:hAnsi="宋体"/>
                <w:kern w:val="24"/>
                <w:sz w:val="18"/>
                <w:szCs w:val="18"/>
              </w:rPr>
              <w:t>“大模块小课程”框架体系</w:t>
            </w:r>
          </w:p>
          <w:p w:rsidR="00F94C03" w:rsidRDefault="0013176B">
            <w:pPr>
              <w:pStyle w:val="p5"/>
              <w:widowControl/>
              <w:ind w:firstLineChars="200" w:firstLine="482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2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）聚焦职教师资核心能力，课程内容“一体化”。</w:t>
            </w:r>
            <w:r>
              <w:rPr>
                <w:rFonts w:ascii="仿宋_GB2312" w:eastAsia="仿宋_GB2312" w:hAnsi="仿宋_GB2312" w:cs="仿宋_GB2312"/>
                <w:lang w:bidi="ar"/>
              </w:rPr>
              <w:t>聚焦职教师资核心能力，采用“五模块”一体化设计的培训体系，围绕若干主题，通过递进式、任务化的项目设计，帮助学员准确把握“三教”改革的着力点和关键点，循序渐进夯实理论基础，</w:t>
            </w:r>
            <w:r>
              <w:rPr>
                <w:rFonts w:ascii="仿宋_GB2312" w:eastAsia="仿宋_GB2312" w:hAnsi="仿宋_GB2312" w:cs="仿宋_GB2312"/>
                <w:lang w:bidi="ar"/>
              </w:rPr>
              <w:lastRenderedPageBreak/>
              <w:t>提升综合能力。针对每一模块的学习内容和学习任务要求，综合采用“听、说、读、研、践、用”等六种模式协同，提升学员学习的参与度、体验感和实践性。</w:t>
            </w:r>
          </w:p>
          <w:p w:rsidR="00F94C03" w:rsidRDefault="0013176B">
            <w:pPr>
              <w:pStyle w:val="p5"/>
              <w:widowControl/>
              <w:ind w:firstLineChars="200" w:firstLine="482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）着眼训用结合质量提升，学习方式“多元化”。</w:t>
            </w:r>
            <w:r>
              <w:rPr>
                <w:rFonts w:ascii="仿宋_GB2312" w:eastAsia="仿宋_GB2312" w:hAnsi="仿宋_GB2312" w:cs="仿宋_GB2312"/>
                <w:lang w:bidi="ar"/>
              </w:rPr>
              <w:t>根据学员特长、真实需求，按</w:t>
            </w:r>
            <w:r>
              <w:rPr>
                <w:rFonts w:ascii="仿宋_GB2312" w:eastAsia="仿宋_GB2312" w:hAnsi="仿宋_GB2312" w:cs="仿宋_GB2312"/>
                <w:lang w:bidi="ar"/>
              </w:rPr>
              <w:t>6-8</w:t>
            </w:r>
            <w:r>
              <w:rPr>
                <w:rFonts w:ascii="仿宋_GB2312" w:eastAsia="仿宋_GB2312" w:hAnsi="仿宋_GB2312" w:cs="仿宋_GB2312"/>
                <w:lang w:bidi="ar"/>
              </w:rPr>
              <w:t>人为一组进行分组，组织学校的教学名师担任导师，实施名师引领下的项目导师制。围绕职业教育课程开发与实施，为参训学员量身定制</w:t>
            </w:r>
            <w:r>
              <w:rPr>
                <w:rFonts w:ascii="仿宋_GB2312" w:eastAsia="仿宋_GB2312" w:hAnsi="仿宋_GB2312" w:cs="仿宋_GB2312"/>
                <w:lang w:bidi="ar"/>
              </w:rPr>
              <w:t>多层次、实战化的项目任务，通过线上线下交替、三阶段递进、四环节推进，提升学员职教理念，培养学以致用的能力。</w:t>
            </w:r>
          </w:p>
          <w:p w:rsidR="00F94C03" w:rsidRDefault="0013176B">
            <w:pPr>
              <w:pStyle w:val="a4"/>
              <w:spacing w:line="360" w:lineRule="auto"/>
              <w:ind w:firstLine="640"/>
              <w:jc w:val="center"/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114300" distR="114300">
                  <wp:extent cx="4378325" cy="2309495"/>
                  <wp:effectExtent l="0" t="0" r="3175" b="146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8325" cy="230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C03" w:rsidRDefault="0013176B">
            <w:pPr>
              <w:pStyle w:val="a4"/>
              <w:spacing w:line="360" w:lineRule="auto"/>
              <w:ind w:firstLine="36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kern w:val="24"/>
                <w:sz w:val="18"/>
                <w:szCs w:val="18"/>
              </w:rPr>
              <w:t>图</w:t>
            </w:r>
            <w:r>
              <w:rPr>
                <w:rFonts w:ascii="宋体" w:eastAsia="宋体" w:hAnsi="宋体" w:hint="eastAsia"/>
                <w:kern w:val="24"/>
                <w:sz w:val="18"/>
                <w:szCs w:val="18"/>
              </w:rPr>
              <w:t xml:space="preserve">2  </w:t>
            </w:r>
            <w:r>
              <w:rPr>
                <w:rFonts w:ascii="宋体" w:eastAsia="宋体" w:hAnsi="宋体" w:hint="eastAsia"/>
                <w:kern w:val="24"/>
                <w:sz w:val="18"/>
                <w:szCs w:val="18"/>
              </w:rPr>
              <w:t>“双线、三段、四环”任务驱动实施图</w:t>
            </w:r>
          </w:p>
          <w:p w:rsidR="00F94C03" w:rsidRDefault="0013176B">
            <w:pPr>
              <w:pStyle w:val="p5"/>
              <w:widowControl/>
              <w:ind w:firstLineChars="200" w:firstLine="482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4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）围绕成果转化科学评价，考核形式“分阶化”。</w:t>
            </w:r>
            <w:r>
              <w:rPr>
                <w:rFonts w:ascii="仿宋_GB2312" w:eastAsia="仿宋_GB2312" w:hAnsi="仿宋_GB2312" w:cs="仿宋_GB2312"/>
                <w:lang w:bidi="ar"/>
              </w:rPr>
              <w:t>分阶段评价主要分为网络研修、集中研习及实践研磨三个阶段，各阶段设置共性的评价内容、指标基础上，针对不同阶段，考核评价侧重点有所不同，设置各阶段的特色性指标。主要分为：综合性评价、过程评价、结果评价，制定详细的评价标准，形成完整的考核方案。</w:t>
            </w:r>
          </w:p>
          <w:p w:rsidR="00F94C03" w:rsidRDefault="0013176B">
            <w:pPr>
              <w:pStyle w:val="p5"/>
              <w:widowControl/>
              <w:ind w:firstLineChars="200" w:firstLine="480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noProof/>
              </w:rPr>
              <w:drawing>
                <wp:inline distT="0" distB="0" distL="114300" distR="114300">
                  <wp:extent cx="4079240" cy="2005330"/>
                  <wp:effectExtent l="0" t="0" r="10160" b="1270"/>
                  <wp:docPr id="6" name="图片 6" descr="演示文稿1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演示文稿1_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5700" b="6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240" cy="200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C03" w:rsidRDefault="0013176B">
            <w:pPr>
              <w:pStyle w:val="p5"/>
              <w:widowControl/>
              <w:ind w:firstLineChars="200" w:firstLine="360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  <w:lang w:bidi="ar"/>
              </w:rPr>
              <w:t>图</w:t>
            </w:r>
            <w:r>
              <w:rPr>
                <w:rFonts w:ascii="仿宋_GB2312" w:eastAsia="仿宋_GB2312" w:hAnsi="仿宋_GB2312" w:cs="仿宋_GB2312"/>
                <w:sz w:val="18"/>
                <w:szCs w:val="18"/>
                <w:lang w:bidi="ar"/>
              </w:rPr>
              <w:t xml:space="preserve">3 </w:t>
            </w:r>
            <w:r>
              <w:rPr>
                <w:rFonts w:ascii="仿宋_GB2312" w:eastAsia="仿宋_GB2312" w:hAnsi="仿宋_GB2312" w:cs="仿宋_GB2312"/>
                <w:sz w:val="18"/>
                <w:szCs w:val="18"/>
                <w:lang w:bidi="ar"/>
              </w:rPr>
              <w:t>“分阶段化”考核方式</w:t>
            </w:r>
          </w:p>
        </w:tc>
      </w:tr>
      <w:tr w:rsidR="00F94C03">
        <w:tc>
          <w:tcPr>
            <w:tcW w:w="908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5"/>
              <w:widowControl/>
              <w:ind w:firstLineChars="200" w:firstLine="482"/>
              <w:rPr>
                <w:rFonts w:ascii="仿宋_GB2312" w:eastAsia="仿宋_GB2312" w:hAnsi="仿宋_GB2312" w:cs="仿宋_GB2312" w:hint="default"/>
                <w:b/>
                <w:bCs/>
                <w:lang w:bidi="ar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lastRenderedPageBreak/>
              <w:t>3.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效果与反思</w:t>
            </w:r>
          </w:p>
          <w:p w:rsidR="00F94C03" w:rsidRDefault="0013176B">
            <w:pPr>
              <w:pStyle w:val="p5"/>
              <w:widowControl/>
              <w:ind w:firstLineChars="200" w:firstLine="482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）师资培训实施成效显著。</w:t>
            </w:r>
            <w:r>
              <w:rPr>
                <w:rFonts w:ascii="仿宋_GB2312" w:eastAsia="仿宋_GB2312" w:hAnsi="仿宋_GB2312" w:cs="仿宋_GB2312"/>
                <w:lang w:bidi="ar"/>
              </w:rPr>
              <w:t>一是为教师成长增值赋能。实现了培训中教师实践智慧的挖掘与转化，参训学员获得市级以上称号</w:t>
            </w:r>
            <w:r>
              <w:rPr>
                <w:rFonts w:ascii="仿宋_GB2312" w:eastAsia="仿宋_GB2312" w:hAnsi="仿宋_GB2312" w:cs="仿宋_GB2312"/>
                <w:lang w:bidi="ar"/>
              </w:rPr>
              <w:t>14</w:t>
            </w:r>
            <w:r>
              <w:rPr>
                <w:rFonts w:ascii="仿宋_GB2312" w:eastAsia="仿宋_GB2312" w:hAnsi="仿宋_GB2312" w:cs="仿宋_GB2312"/>
                <w:lang w:bidi="ar"/>
              </w:rPr>
              <w:t>人、省级以上荣誉</w:t>
            </w:r>
            <w:r>
              <w:rPr>
                <w:rFonts w:ascii="仿宋_GB2312" w:eastAsia="仿宋_GB2312" w:hAnsi="仿宋_GB2312" w:cs="仿宋_GB2312"/>
                <w:lang w:bidi="ar"/>
              </w:rPr>
              <w:t>5</w:t>
            </w:r>
            <w:r>
              <w:rPr>
                <w:rFonts w:ascii="仿宋_GB2312" w:eastAsia="仿宋_GB2312" w:hAnsi="仿宋_GB2312" w:cs="仿宋_GB2312"/>
                <w:lang w:bidi="ar"/>
              </w:rPr>
              <w:t>人。二是参训学员满意度达</w:t>
            </w:r>
            <w:r>
              <w:rPr>
                <w:rFonts w:ascii="仿宋_GB2312" w:eastAsia="仿宋_GB2312" w:hAnsi="仿宋_GB2312" w:cs="仿宋_GB2312"/>
                <w:lang w:bidi="ar"/>
              </w:rPr>
              <w:t>100%</w:t>
            </w:r>
            <w:r>
              <w:rPr>
                <w:rFonts w:ascii="仿宋_GB2312" w:eastAsia="仿宋_GB2312" w:hAnsi="仿宋_GB2312" w:cs="仿宋_GB2312"/>
                <w:lang w:bidi="ar"/>
              </w:rPr>
              <w:t>。参训学员均认为训前计划安排合理、训前资源准备、培训组织指导充分、教学方法运用得当，能满足自己的培训需求，实现自我能力的提升。</w:t>
            </w:r>
          </w:p>
          <w:p w:rsidR="00F94C03" w:rsidRDefault="0013176B">
            <w:pPr>
              <w:pStyle w:val="p5"/>
              <w:widowControl/>
              <w:ind w:firstLineChars="200" w:firstLine="482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2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）培训模式特色创新明显。</w:t>
            </w:r>
            <w:r>
              <w:rPr>
                <w:rFonts w:ascii="仿宋_GB2312" w:eastAsia="仿宋_GB2312" w:hAnsi="仿宋_GB2312" w:cs="仿宋_GB2312"/>
                <w:lang w:bidi="ar"/>
              </w:rPr>
              <w:t>一是培训内容既全面对接职业院校教师素质培养体系，又突出专业骨干教师发展的核心能力结构，形成“课课衔接”的系统性研修特色。二是设计了“双线、三段、四环”的培训组织形式，通过课程、任务、实践和</w:t>
            </w:r>
            <w:r>
              <w:rPr>
                <w:rFonts w:ascii="仿宋_GB2312" w:eastAsia="仿宋_GB2312" w:hAnsi="仿宋_GB2312" w:cs="仿宋_GB2312"/>
                <w:lang w:bidi="ar"/>
              </w:rPr>
              <w:t>评</w:t>
            </w:r>
            <w:r>
              <w:rPr>
                <w:rFonts w:ascii="仿宋_GB2312" w:eastAsia="仿宋_GB2312" w:hAnsi="仿宋_GB2312" w:cs="仿宋_GB2312"/>
                <w:lang w:bidi="ar"/>
              </w:rPr>
              <w:lastRenderedPageBreak/>
              <w:t>价的层层递进，形成了“层层递进”的阶梯式研修特色。三是充分依托学校长期形成的职业教育改革发展的经验和成果，全面开放校本资源，形成了“学学相长”的分享式研修特色。</w:t>
            </w:r>
          </w:p>
          <w:p w:rsidR="00F94C03" w:rsidRDefault="0013176B">
            <w:pPr>
              <w:pStyle w:val="p5"/>
              <w:widowControl/>
              <w:ind w:firstLineChars="200" w:firstLine="482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b/>
                <w:bCs/>
                <w:lang w:bidi="ar"/>
              </w:rPr>
              <w:t>）推广辐射应用价值突出。</w:t>
            </w:r>
            <w:r>
              <w:rPr>
                <w:rFonts w:ascii="仿宋_GB2312" w:eastAsia="仿宋_GB2312" w:hAnsi="仿宋_GB2312" w:cs="仿宋_GB2312"/>
                <w:lang w:bidi="ar"/>
              </w:rPr>
              <w:t>本案例中对参训教师的需求调研、培训内容体系的构建、培训组织形式的创新、评价方式的多元化等积累了经验，可以为培训机构、承担培训任务的高校等提供操作实践参考价值。同时，形成了具有本校特色的研修资源库，形成专题系列培训资源</w:t>
            </w:r>
            <w:r>
              <w:rPr>
                <w:rFonts w:ascii="仿宋_GB2312" w:eastAsia="仿宋_GB2312" w:hAnsi="仿宋_GB2312" w:cs="仿宋_GB2312"/>
                <w:lang w:bidi="ar"/>
              </w:rPr>
              <w:t>218</w:t>
            </w:r>
            <w:r>
              <w:rPr>
                <w:rFonts w:ascii="仿宋_GB2312" w:eastAsia="仿宋_GB2312" w:hAnsi="仿宋_GB2312" w:cs="仿宋_GB2312"/>
                <w:lang w:bidi="ar"/>
              </w:rPr>
              <w:t>份，并在学习平台持续展示培训成果，帮助学员建立跨区域学习共同体。</w:t>
            </w:r>
          </w:p>
          <w:p w:rsidR="00F94C03" w:rsidRDefault="00F94C03">
            <w:pPr>
              <w:pStyle w:val="p5"/>
              <w:widowControl/>
              <w:rPr>
                <w:rFonts w:ascii="仿宋_GB2312" w:eastAsia="仿宋_GB2312" w:hAnsi="仿宋_GB2312" w:cs="仿宋_GB2312" w:hint="default"/>
              </w:rPr>
            </w:pPr>
          </w:p>
          <w:p w:rsidR="00F94C03" w:rsidRDefault="00F94C03">
            <w:pPr>
              <w:pStyle w:val="p5"/>
              <w:widowControl/>
              <w:rPr>
                <w:rFonts w:ascii="仿宋_GB2312" w:eastAsia="仿宋_GB2312" w:hAnsi="仿宋_GB2312" w:cs="仿宋_GB2312" w:hint="default"/>
              </w:rPr>
            </w:pPr>
          </w:p>
          <w:p w:rsidR="00F94C03" w:rsidRDefault="00F94C03">
            <w:pPr>
              <w:pStyle w:val="p5"/>
              <w:widowControl/>
              <w:rPr>
                <w:rFonts w:ascii="仿宋_GB2312" w:eastAsia="仿宋_GB2312" w:hAnsi="仿宋_GB2312" w:cs="仿宋_GB2312" w:hint="default"/>
              </w:rPr>
            </w:pPr>
          </w:p>
          <w:p w:rsidR="00F94C03" w:rsidRDefault="00F94C03">
            <w:pPr>
              <w:pStyle w:val="p5"/>
              <w:widowControl/>
              <w:rPr>
                <w:rFonts w:ascii="仿宋_GB2312" w:eastAsia="仿宋_GB2312" w:hAnsi="仿宋_GB2312" w:cs="仿宋_GB2312" w:hint="default"/>
              </w:rPr>
            </w:pPr>
          </w:p>
          <w:p w:rsidR="00F94C03" w:rsidRDefault="00F94C03">
            <w:pPr>
              <w:pStyle w:val="p5"/>
              <w:widowControl/>
              <w:rPr>
                <w:rFonts w:ascii="仿宋_GB2312" w:eastAsia="仿宋_GB2312" w:hAnsi="仿宋_GB2312" w:cs="仿宋_GB2312" w:hint="default"/>
              </w:rPr>
            </w:pPr>
          </w:p>
        </w:tc>
      </w:tr>
      <w:tr w:rsidR="00F94C03">
        <w:tc>
          <w:tcPr>
            <w:tcW w:w="908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5"/>
              <w:widowControl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lastRenderedPageBreak/>
              <w:t>案例曾获奖励情况</w:t>
            </w:r>
          </w:p>
        </w:tc>
      </w:tr>
      <w:tr w:rsidR="00F94C03">
        <w:tc>
          <w:tcPr>
            <w:tcW w:w="1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5"/>
              <w:widowControl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时间</w:t>
            </w:r>
          </w:p>
        </w:tc>
        <w:tc>
          <w:tcPr>
            <w:tcW w:w="2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5"/>
              <w:widowControl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奖项名称</w:t>
            </w:r>
          </w:p>
        </w:tc>
        <w:tc>
          <w:tcPr>
            <w:tcW w:w="1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5"/>
              <w:widowControl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获奖等级</w:t>
            </w:r>
          </w:p>
        </w:tc>
        <w:tc>
          <w:tcPr>
            <w:tcW w:w="29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5"/>
              <w:widowControl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颁奖部门</w:t>
            </w:r>
          </w:p>
        </w:tc>
      </w:tr>
      <w:tr w:rsidR="00F94C03">
        <w:tc>
          <w:tcPr>
            <w:tcW w:w="1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5"/>
              <w:widowControl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2023</w:t>
            </w:r>
            <w:r>
              <w:rPr>
                <w:rFonts w:ascii="仿宋_GB2312" w:eastAsia="仿宋_GB2312" w:hAnsi="仿宋_GB2312" w:cs="仿宋_GB2312"/>
                <w:lang w:bidi="ar"/>
              </w:rPr>
              <w:t>年</w:t>
            </w:r>
            <w:r>
              <w:rPr>
                <w:rFonts w:ascii="仿宋_GB2312" w:eastAsia="仿宋_GB2312" w:hAnsi="仿宋_GB2312" w:cs="仿宋_GB2312"/>
                <w:lang w:bidi="ar"/>
              </w:rPr>
              <w:t>01</w:t>
            </w:r>
            <w:r>
              <w:rPr>
                <w:rFonts w:ascii="仿宋_GB2312" w:eastAsia="仿宋_GB2312" w:hAnsi="仿宋_GB2312" w:cs="仿宋_GB2312"/>
                <w:lang w:bidi="ar"/>
              </w:rPr>
              <w:t>月</w:t>
            </w:r>
          </w:p>
        </w:tc>
        <w:tc>
          <w:tcPr>
            <w:tcW w:w="2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5"/>
              <w:widowControl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“职教国培”示范项目优秀案例</w:t>
            </w:r>
          </w:p>
        </w:tc>
        <w:tc>
          <w:tcPr>
            <w:tcW w:w="1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5"/>
              <w:widowControl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国家级</w:t>
            </w:r>
          </w:p>
        </w:tc>
        <w:tc>
          <w:tcPr>
            <w:tcW w:w="29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100" w:type="dxa"/>
              <w:right w:w="100" w:type="dxa"/>
            </w:tcMar>
            <w:vAlign w:val="center"/>
          </w:tcPr>
          <w:p w:rsidR="00F94C03" w:rsidRDefault="0013176B">
            <w:pPr>
              <w:pStyle w:val="p5"/>
              <w:widowControl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教育部教师工作司</w:t>
            </w:r>
          </w:p>
        </w:tc>
      </w:tr>
    </w:tbl>
    <w:p w:rsidR="00F94C03" w:rsidRDefault="00F94C03"/>
    <w:sectPr w:rsidR="00F94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SI仿宋-GB2312">
    <w:altName w:val="仿宋"/>
    <w:charset w:val="00"/>
    <w:family w:val="auto"/>
    <w:pitch w:val="default"/>
    <w:sig w:usb0="00000000" w:usb1="00000000" w:usb2="00000010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altName w:val="宋体"/>
    <w:charset w:val="86"/>
    <w:family w:val="auto"/>
    <w:pitch w:val="default"/>
    <w:sig w:usb0="00000000" w:usb1="00000000" w:usb2="00000000" w:usb3="00000000" w:csb0="00040000" w:csb1="00000000"/>
  </w:font>
  <w:font w:name="times">
    <w:altName w:val="Microsoft YaHei UI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5092EBE"/>
    <w:multiLevelType w:val="singleLevel"/>
    <w:tmpl w:val="D5092E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hNmQzMTg2MGE1YTY3ZDAxMmZkZGFlNzQyYjFiMzEifQ=="/>
  </w:docVars>
  <w:rsids>
    <w:rsidRoot w:val="200D159F"/>
    <w:rsid w:val="00013242"/>
    <w:rsid w:val="0013176B"/>
    <w:rsid w:val="00CF1CF2"/>
    <w:rsid w:val="00F94C03"/>
    <w:rsid w:val="13C3447C"/>
    <w:rsid w:val="200D159F"/>
    <w:rsid w:val="209B6D55"/>
    <w:rsid w:val="2138622E"/>
    <w:rsid w:val="26B31DF1"/>
    <w:rsid w:val="2F934F2D"/>
    <w:rsid w:val="31B778A1"/>
    <w:rsid w:val="3ABE1D72"/>
    <w:rsid w:val="3F1424DC"/>
    <w:rsid w:val="607414C9"/>
    <w:rsid w:val="640473FE"/>
    <w:rsid w:val="6A5646AA"/>
    <w:rsid w:val="710F602E"/>
    <w:rsid w:val="774424D0"/>
    <w:rsid w:val="796D2401"/>
    <w:rsid w:val="7ED9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45A3E2-9B45-4DF2-B19B-825A1B7A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ESI仿宋-GB2312" w:eastAsia="仿宋_GB2312" w:hAnsi="CESI仿宋-GB2312" w:cs="Times New Roman"/>
      <w:kern w:val="2"/>
      <w:sz w:val="32"/>
      <w:szCs w:val="32"/>
    </w:rPr>
  </w:style>
  <w:style w:type="paragraph" w:styleId="2">
    <w:name w:val="heading 2"/>
    <w:basedOn w:val="a"/>
    <w:next w:val="a"/>
    <w:autoRedefine/>
    <w:semiHidden/>
    <w:unhideWhenUsed/>
    <w:qFormat/>
    <w:pPr>
      <w:spacing w:before="60" w:after="60"/>
      <w:outlineLvl w:val="1"/>
    </w:pPr>
    <w:rPr>
      <w:rFonts w:ascii="宋体" w:eastAsia="Arial" w:hAnsi="宋体" w:cs="Arial" w:hint="eastAsia"/>
      <w:b/>
      <w:bCs/>
      <w:snapToGrid w:val="0"/>
      <w:color w:val="000000"/>
      <w:sz w:val="30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正文缩进1"/>
    <w:basedOn w:val="a"/>
    <w:autoRedefine/>
    <w:uiPriority w:val="99"/>
    <w:qFormat/>
    <w:pPr>
      <w:ind w:firstLineChars="200" w:firstLine="420"/>
    </w:pPr>
  </w:style>
  <w:style w:type="paragraph" w:customStyle="1" w:styleId="p8">
    <w:name w:val="p8"/>
    <w:basedOn w:val="a"/>
    <w:autoRedefine/>
    <w:qFormat/>
    <w:pPr>
      <w:jc w:val="center"/>
    </w:pPr>
    <w:rPr>
      <w:rFonts w:ascii="songti sc" w:eastAsia="songti sc" w:hAnsi="songti sc" w:hint="eastAsia"/>
      <w:kern w:val="0"/>
      <w:sz w:val="28"/>
      <w:szCs w:val="28"/>
    </w:rPr>
  </w:style>
  <w:style w:type="character" w:customStyle="1" w:styleId="s4">
    <w:name w:val="s4"/>
    <w:basedOn w:val="a0"/>
    <w:autoRedefine/>
    <w:qFormat/>
    <w:rPr>
      <w:rFonts w:ascii="times" w:eastAsia="times" w:hAnsi="times" w:cs="times" w:hint="default"/>
      <w:sz w:val="28"/>
      <w:szCs w:val="28"/>
    </w:rPr>
  </w:style>
  <w:style w:type="paragraph" w:customStyle="1" w:styleId="p9">
    <w:name w:val="p9"/>
    <w:basedOn w:val="a"/>
    <w:autoRedefine/>
    <w:qFormat/>
    <w:pPr>
      <w:jc w:val="center"/>
    </w:pPr>
    <w:rPr>
      <w:rFonts w:ascii="songti sc" w:eastAsia="songti sc" w:hAnsi="songti sc" w:hint="eastAsia"/>
      <w:kern w:val="0"/>
      <w:sz w:val="24"/>
      <w:szCs w:val="24"/>
    </w:rPr>
  </w:style>
  <w:style w:type="paragraph" w:customStyle="1" w:styleId="p7">
    <w:name w:val="p7"/>
    <w:basedOn w:val="a"/>
    <w:autoRedefine/>
    <w:qFormat/>
    <w:pPr>
      <w:jc w:val="center"/>
    </w:pPr>
    <w:rPr>
      <w:rFonts w:ascii="times" w:eastAsia="times" w:hAnsi="times"/>
      <w:kern w:val="0"/>
      <w:sz w:val="24"/>
      <w:szCs w:val="24"/>
    </w:rPr>
  </w:style>
  <w:style w:type="paragraph" w:customStyle="1" w:styleId="p13">
    <w:name w:val="p13"/>
    <w:basedOn w:val="a"/>
    <w:autoRedefine/>
    <w:qFormat/>
    <w:pPr>
      <w:jc w:val="center"/>
    </w:pPr>
    <w:rPr>
      <w:rFonts w:ascii="songti sc" w:eastAsia="songti sc" w:hAnsi="songti sc" w:hint="eastAsia"/>
      <w:color w:val="FF0000"/>
      <w:kern w:val="0"/>
      <w:sz w:val="24"/>
      <w:szCs w:val="24"/>
    </w:rPr>
  </w:style>
  <w:style w:type="paragraph" w:customStyle="1" w:styleId="p5">
    <w:name w:val="p5"/>
    <w:basedOn w:val="a"/>
    <w:autoRedefine/>
    <w:qFormat/>
    <w:pPr>
      <w:jc w:val="left"/>
    </w:pPr>
    <w:rPr>
      <w:rFonts w:ascii="songti sc" w:eastAsia="songti sc" w:hAnsi="songti sc" w:hint="eastAsia"/>
      <w:kern w:val="0"/>
      <w:sz w:val="24"/>
      <w:szCs w:val="24"/>
    </w:rPr>
  </w:style>
  <w:style w:type="paragraph" w:styleId="a4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p1">
    <w:name w:val="p1"/>
    <w:basedOn w:val="a"/>
    <w:autoRedefine/>
    <w:qFormat/>
    <w:pPr>
      <w:jc w:val="center"/>
    </w:pPr>
    <w:rPr>
      <w:rFonts w:ascii="songti sc" w:eastAsia="songti sc" w:hAnsi="songti sc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吕昊威</dc:creator>
  <cp:lastModifiedBy>AutoBVT</cp:lastModifiedBy>
  <cp:revision>4</cp:revision>
  <dcterms:created xsi:type="dcterms:W3CDTF">2024-04-15T05:47:00Z</dcterms:created>
  <dcterms:modified xsi:type="dcterms:W3CDTF">2024-06-27T01:27:00Z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94C58DD237644EA8B24C73F96053BF9A_13</vt:lpwstr>
  </property>
</Properties>
</file>